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44DE5C7">
      <w:pPr>
        <w:pStyle w:val="22"/>
        <w:wordWrap w:val="0"/>
        <w:spacing w:line="360" w:lineRule="auto"/>
        <w:ind w:firstLine="320" w:firstLineChars="100"/>
        <w:jc w:val="right"/>
        <w:rPr>
          <w:rFonts w:hint="default" w:ascii="方正仿宋_GBK" w:hAnsi="宋体" w:eastAsia="宋体"/>
          <w:color w:val="auto"/>
          <w:highlight w:val="none"/>
          <w:lang w:val="en-US" w:eastAsia="zh-CN"/>
        </w:rPr>
      </w:pPr>
      <w:r>
        <w:rPr>
          <w:rFonts w:hint="eastAsia" w:ascii="方正仿宋_GBK" w:hAnsi="宋体" w:eastAsia="方正仿宋_GBK"/>
          <w:color w:val="auto"/>
          <w:highlight w:val="none"/>
        </w:rPr>
        <w:t xml:space="preserve"> </w:t>
      </w:r>
      <w:r>
        <w:rPr>
          <w:rFonts w:hint="eastAsia" w:ascii="宋体" w:hAnsi="宋体" w:eastAsia="宋体" w:cs="宋体"/>
          <w:b/>
          <w:color w:val="auto"/>
          <w:sz w:val="30"/>
          <w:szCs w:val="30"/>
          <w:highlight w:val="none"/>
        </w:rPr>
        <w:t>招标编号：CQ</w:t>
      </w:r>
      <w:r>
        <w:rPr>
          <w:rFonts w:hint="eastAsia" w:ascii="宋体" w:hAnsi="宋体" w:eastAsia="宋体" w:cs="宋体"/>
          <w:b/>
          <w:color w:val="auto"/>
          <w:sz w:val="30"/>
          <w:szCs w:val="30"/>
          <w:highlight w:val="none"/>
          <w:lang w:val="en-US" w:eastAsia="zh-CN"/>
        </w:rPr>
        <w:t>YY</w:t>
      </w:r>
      <w:r>
        <w:rPr>
          <w:rFonts w:hint="eastAsia" w:ascii="宋体" w:hAnsi="宋体" w:eastAsia="宋体" w:cs="宋体"/>
          <w:b/>
          <w:color w:val="auto"/>
          <w:sz w:val="30"/>
          <w:szCs w:val="30"/>
          <w:highlight w:val="none"/>
        </w:rPr>
        <w:t>-202</w:t>
      </w:r>
      <w:r>
        <w:rPr>
          <w:rFonts w:hint="eastAsia" w:ascii="宋体" w:hAnsi="宋体" w:eastAsia="宋体" w:cs="宋体"/>
          <w:b/>
          <w:color w:val="auto"/>
          <w:sz w:val="30"/>
          <w:szCs w:val="30"/>
          <w:highlight w:val="none"/>
          <w:lang w:val="en-US" w:eastAsia="zh-CN"/>
        </w:rPr>
        <w:t>6045</w:t>
      </w:r>
    </w:p>
    <w:p w14:paraId="37306BE7">
      <w:pPr>
        <w:jc w:val="center"/>
        <w:rPr>
          <w:rFonts w:hint="eastAsia" w:ascii="宋体" w:hAnsi="宋体"/>
          <w:color w:val="auto"/>
          <w:highlight w:val="none"/>
        </w:rPr>
      </w:pPr>
    </w:p>
    <w:p w14:paraId="5751132C">
      <w:pPr>
        <w:spacing w:line="1600" w:lineRule="exact"/>
        <w:jc w:val="center"/>
        <w:outlineLvl w:val="9"/>
        <w:rPr>
          <w:rFonts w:hint="eastAsia" w:ascii="方正黑体_GBK" w:eastAsia="方正黑体_GBK"/>
          <w:color w:val="auto"/>
          <w:sz w:val="100"/>
          <w:highlight w:val="none"/>
        </w:rPr>
      </w:pPr>
    </w:p>
    <w:p w14:paraId="29D10F2E">
      <w:pPr>
        <w:spacing w:line="1600" w:lineRule="exact"/>
        <w:jc w:val="center"/>
        <w:outlineLvl w:val="9"/>
        <w:rPr>
          <w:rFonts w:hint="eastAsia" w:ascii="方正黑体_GBK" w:hAnsi="宋体" w:eastAsia="方正黑体_GBK"/>
          <w:color w:val="auto"/>
          <w:sz w:val="130"/>
          <w:szCs w:val="130"/>
          <w:highlight w:val="none"/>
        </w:rPr>
      </w:pPr>
    </w:p>
    <w:p w14:paraId="20D2AD1E">
      <w:pPr>
        <w:spacing w:line="1600" w:lineRule="exact"/>
        <w:jc w:val="center"/>
        <w:outlineLvl w:val="9"/>
        <w:rPr>
          <w:rFonts w:hint="eastAsia" w:ascii="方正黑体_GBK" w:hAnsi="宋体" w:eastAsia="方正黑体_GBK"/>
          <w:color w:val="auto"/>
          <w:sz w:val="130"/>
          <w:szCs w:val="130"/>
          <w:highlight w:val="none"/>
        </w:rPr>
      </w:pPr>
      <w:r>
        <w:rPr>
          <w:rFonts w:hint="eastAsia" w:ascii="方正黑体_GBK" w:hAnsi="宋体" w:eastAsia="方正黑体_GBK"/>
          <w:color w:val="auto"/>
          <w:sz w:val="130"/>
          <w:szCs w:val="130"/>
          <w:highlight w:val="none"/>
        </w:rPr>
        <w:t>竞争性磋商文件</w:t>
      </w:r>
    </w:p>
    <w:p w14:paraId="55722B64">
      <w:pPr>
        <w:spacing w:line="700" w:lineRule="exact"/>
        <w:jc w:val="center"/>
        <w:rPr>
          <w:rFonts w:hint="eastAsia" w:ascii="黑体" w:eastAsia="黑体"/>
          <w:color w:val="auto"/>
          <w:sz w:val="32"/>
          <w:highlight w:val="none"/>
        </w:rPr>
      </w:pPr>
    </w:p>
    <w:p w14:paraId="13ACA493">
      <w:pPr>
        <w:spacing w:line="700" w:lineRule="exact"/>
        <w:jc w:val="center"/>
        <w:rPr>
          <w:rFonts w:hint="eastAsia" w:ascii="黑体" w:eastAsia="黑体"/>
          <w:color w:val="auto"/>
          <w:sz w:val="32"/>
          <w:highlight w:val="none"/>
        </w:rPr>
      </w:pPr>
    </w:p>
    <w:p w14:paraId="6124BE13">
      <w:pPr>
        <w:spacing w:line="700" w:lineRule="exact"/>
        <w:jc w:val="center"/>
        <w:rPr>
          <w:rFonts w:hint="eastAsia" w:ascii="黑体" w:eastAsia="黑体"/>
          <w:color w:val="auto"/>
          <w:sz w:val="32"/>
          <w:highlight w:val="none"/>
        </w:rPr>
      </w:pPr>
    </w:p>
    <w:p w14:paraId="2B0BE445">
      <w:pPr>
        <w:spacing w:line="500" w:lineRule="exact"/>
        <w:outlineLvl w:val="9"/>
        <w:rPr>
          <w:rFonts w:hint="default" w:ascii="方正小标宋_GBK" w:hAnsi="宋体" w:eastAsia="方正小标宋_GBK"/>
          <w:color w:val="auto"/>
          <w:sz w:val="36"/>
          <w:szCs w:val="36"/>
          <w:highlight w:val="none"/>
          <w:lang w:val="en-US" w:eastAsia="zh-CN"/>
        </w:rPr>
      </w:pPr>
      <w:r>
        <w:rPr>
          <w:rFonts w:hint="eastAsia" w:ascii="方正小标宋_GBK" w:hAnsi="宋体" w:eastAsia="方正小标宋_GBK"/>
          <w:color w:val="auto"/>
          <w:sz w:val="36"/>
          <w:szCs w:val="36"/>
          <w:highlight w:val="none"/>
        </w:rPr>
        <w:t>磋商项目名称：</w:t>
      </w:r>
      <w:r>
        <w:rPr>
          <w:rFonts w:hint="eastAsia" w:ascii="方正小标宋_GBK" w:hAnsi="宋体" w:eastAsia="方正小标宋_GBK"/>
          <w:color w:val="auto"/>
          <w:sz w:val="36"/>
          <w:szCs w:val="36"/>
          <w:highlight w:val="none"/>
          <w:lang w:eastAsia="zh-CN"/>
        </w:rPr>
        <w:t xml:space="preserve"> 重庆市职工文体“双促”数字场景技术服务项目（第二次）</w:t>
      </w:r>
    </w:p>
    <w:p w14:paraId="11D2885C">
      <w:pPr>
        <w:spacing w:line="700" w:lineRule="exact"/>
        <w:ind w:firstLine="1749" w:firstLineChars="486"/>
        <w:rPr>
          <w:rFonts w:hint="eastAsia" w:ascii="方正小标宋_GBK" w:hAnsi="宋体" w:eastAsia="方正小标宋_GBK"/>
          <w:color w:val="auto"/>
          <w:sz w:val="36"/>
          <w:szCs w:val="36"/>
          <w:highlight w:val="none"/>
        </w:rPr>
      </w:pPr>
    </w:p>
    <w:p w14:paraId="2B48C2AD">
      <w:pPr>
        <w:spacing w:line="700" w:lineRule="exact"/>
        <w:ind w:firstLine="1749" w:firstLineChars="486"/>
        <w:rPr>
          <w:rFonts w:hint="eastAsia" w:ascii="方正小标宋_GBK" w:hAnsi="宋体" w:eastAsia="方正小标宋_GBK"/>
          <w:color w:val="auto"/>
          <w:sz w:val="36"/>
          <w:szCs w:val="36"/>
          <w:highlight w:val="none"/>
        </w:rPr>
      </w:pPr>
    </w:p>
    <w:p w14:paraId="69BD8C4A">
      <w:pPr>
        <w:spacing w:line="700" w:lineRule="exact"/>
        <w:ind w:firstLine="1749" w:firstLineChars="486"/>
        <w:rPr>
          <w:rFonts w:hint="eastAsia" w:ascii="方正小标宋_GBK" w:hAnsi="宋体" w:eastAsia="方正小标宋_GBK"/>
          <w:color w:val="auto"/>
          <w:sz w:val="36"/>
          <w:szCs w:val="36"/>
          <w:highlight w:val="none"/>
        </w:rPr>
      </w:pPr>
    </w:p>
    <w:p w14:paraId="4809F3EF">
      <w:pPr>
        <w:spacing w:line="700" w:lineRule="exact"/>
        <w:jc w:val="center"/>
        <w:rPr>
          <w:rFonts w:hint="eastAsia" w:ascii="方正小标宋_GBK" w:hAnsi="宋体" w:eastAsia="方正小标宋_GBK"/>
          <w:b/>
          <w:color w:val="auto"/>
          <w:sz w:val="36"/>
          <w:szCs w:val="36"/>
          <w:highlight w:val="none"/>
        </w:rPr>
      </w:pPr>
    </w:p>
    <w:p w14:paraId="3010E612">
      <w:pPr>
        <w:spacing w:line="500" w:lineRule="exact"/>
        <w:jc w:val="center"/>
        <w:outlineLvl w:val="9"/>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t>采购人：</w:t>
      </w:r>
      <w:r>
        <w:rPr>
          <w:rFonts w:hint="eastAsia" w:ascii="方正小标宋_GBK" w:eastAsia="方正小标宋_GBK"/>
          <w:color w:val="auto"/>
          <w:sz w:val="36"/>
          <w:szCs w:val="36"/>
          <w:highlight w:val="none"/>
          <w:lang w:eastAsia="zh-CN"/>
        </w:rPr>
        <w:t>重庆市总工会</w:t>
      </w:r>
      <w:r>
        <w:rPr>
          <w:rFonts w:hint="eastAsia" w:ascii="方正小标宋_GBK" w:eastAsia="方正小标宋_GBK"/>
          <w:color w:val="auto"/>
          <w:sz w:val="36"/>
          <w:szCs w:val="36"/>
          <w:highlight w:val="none"/>
        </w:rPr>
        <w:t xml:space="preserve"> </w:t>
      </w:r>
    </w:p>
    <w:p w14:paraId="1962A825">
      <w:pPr>
        <w:spacing w:line="500" w:lineRule="exact"/>
        <w:jc w:val="center"/>
        <w:outlineLvl w:val="9"/>
        <w:rPr>
          <w:rFonts w:hint="eastAsia" w:ascii="方正小标宋_GBK" w:eastAsia="方正小标宋_GBK"/>
          <w:color w:val="auto"/>
          <w:sz w:val="36"/>
          <w:szCs w:val="36"/>
          <w:highlight w:val="none"/>
          <w:lang w:eastAsia="zh-CN"/>
        </w:rPr>
      </w:pPr>
      <w:r>
        <w:rPr>
          <w:rFonts w:hint="eastAsia" w:ascii="方正小标宋_GBK" w:eastAsia="方正小标宋_GBK"/>
          <w:color w:val="auto"/>
          <w:sz w:val="36"/>
          <w:szCs w:val="36"/>
          <w:highlight w:val="none"/>
        </w:rPr>
        <w:t>采购代理机构：</w:t>
      </w:r>
      <w:r>
        <w:rPr>
          <w:rFonts w:hint="eastAsia" w:ascii="方正小标宋_GBK" w:eastAsia="方正小标宋_GBK"/>
          <w:color w:val="auto"/>
          <w:sz w:val="36"/>
          <w:szCs w:val="36"/>
          <w:highlight w:val="none"/>
          <w:lang w:eastAsia="zh-CN"/>
        </w:rPr>
        <w:t>重庆云远项目管理有限公司</w:t>
      </w:r>
    </w:p>
    <w:p w14:paraId="7F640EC2">
      <w:pPr>
        <w:spacing w:line="500" w:lineRule="exact"/>
        <w:jc w:val="center"/>
        <w:outlineLvl w:val="9"/>
        <w:rPr>
          <w:rFonts w:hint="eastAsia" w:ascii="方正小标宋_GBK" w:eastAsia="方正小标宋_GBK"/>
          <w:color w:val="auto"/>
          <w:sz w:val="36"/>
          <w:szCs w:val="36"/>
          <w:highlight w:val="none"/>
        </w:rPr>
      </w:pPr>
    </w:p>
    <w:p w14:paraId="4689F849">
      <w:pPr>
        <w:spacing w:line="720" w:lineRule="exact"/>
        <w:jc w:val="center"/>
        <w:outlineLvl w:val="9"/>
        <w:rPr>
          <w:rFonts w:hint="eastAsia" w:ascii="方正黑体_GBK" w:hAnsi="宋体" w:eastAsia="方正黑体_GBK"/>
          <w:color w:val="auto"/>
          <w:sz w:val="48"/>
          <w:szCs w:val="32"/>
          <w:highlight w:val="none"/>
        </w:rPr>
      </w:pPr>
      <w:r>
        <w:rPr>
          <w:rFonts w:hint="eastAsia" w:ascii="方正小标宋_GBK" w:hAnsi="宋体" w:eastAsia="方正小标宋_GBK"/>
          <w:color w:val="auto"/>
          <w:sz w:val="36"/>
          <w:szCs w:val="36"/>
          <w:highlight w:val="none"/>
        </w:rPr>
        <w:t>二〇二</w:t>
      </w:r>
      <w:r>
        <w:rPr>
          <w:rFonts w:hint="eastAsia" w:ascii="方正小标宋_GBK" w:hAnsi="宋体" w:eastAsia="方正小标宋_GBK"/>
          <w:color w:val="auto"/>
          <w:sz w:val="36"/>
          <w:szCs w:val="36"/>
          <w:highlight w:val="none"/>
          <w:lang w:eastAsia="zh-CN"/>
        </w:rPr>
        <w:t>六</w:t>
      </w:r>
      <w:r>
        <w:rPr>
          <w:rFonts w:hint="eastAsia" w:ascii="方正小标宋_GBK" w:hAnsi="宋体" w:eastAsia="方正小标宋_GBK"/>
          <w:color w:val="auto"/>
          <w:sz w:val="36"/>
          <w:szCs w:val="36"/>
          <w:highlight w:val="none"/>
        </w:rPr>
        <w:t>年</w:t>
      </w:r>
      <w:r>
        <w:rPr>
          <w:rFonts w:hint="eastAsia" w:ascii="方正小标宋_GBK" w:hAnsi="宋体" w:eastAsia="方正小标宋_GBK"/>
          <w:color w:val="auto"/>
          <w:sz w:val="36"/>
          <w:szCs w:val="36"/>
          <w:highlight w:val="none"/>
          <w:lang w:val="en-US" w:eastAsia="zh-CN"/>
        </w:rPr>
        <w:t>五</w:t>
      </w:r>
      <w:r>
        <w:rPr>
          <w:rFonts w:hint="eastAsia" w:ascii="方正小标宋_GBK" w:hAnsi="宋体" w:eastAsia="方正小标宋_GBK"/>
          <w:color w:val="auto"/>
          <w:sz w:val="36"/>
          <w:szCs w:val="36"/>
          <w:highlight w:val="none"/>
        </w:rPr>
        <w:t>月</w:t>
      </w:r>
    </w:p>
    <w:p w14:paraId="0D39EC9C">
      <w:pPr>
        <w:spacing w:line="720" w:lineRule="exact"/>
        <w:jc w:val="center"/>
        <w:outlineLvl w:val="9"/>
        <w:rPr>
          <w:rFonts w:ascii="方正黑体_GBK" w:hAnsi="宋体" w:eastAsia="方正黑体_GBK"/>
          <w:color w:val="auto"/>
          <w:sz w:val="48"/>
          <w:szCs w:val="32"/>
          <w:highlight w:val="none"/>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14:paraId="3F5A8740">
      <w:pPr>
        <w:spacing w:line="480" w:lineRule="exact"/>
        <w:jc w:val="center"/>
        <w:outlineLvl w:val="9"/>
        <w:rPr>
          <w:rFonts w:hint="eastAsia" w:ascii="方正黑体_GBK" w:eastAsia="方正黑体_GBK"/>
          <w:color w:val="auto"/>
          <w:sz w:val="44"/>
          <w:szCs w:val="28"/>
          <w:highlight w:val="none"/>
        </w:rPr>
      </w:pPr>
      <w:r>
        <w:rPr>
          <w:rFonts w:hint="eastAsia" w:ascii="方正黑体_GBK" w:eastAsia="方正黑体_GBK"/>
          <w:color w:val="auto"/>
          <w:sz w:val="44"/>
          <w:szCs w:val="28"/>
          <w:highlight w:val="none"/>
        </w:rPr>
        <w:t>目   录</w:t>
      </w:r>
    </w:p>
    <w:p w14:paraId="3A4F9AB4">
      <w:pPr>
        <w:pStyle w:val="46"/>
        <w:tabs>
          <w:tab w:val="right" w:leader="dot" w:pos="9412"/>
        </w:tabs>
      </w:pPr>
      <w:r>
        <w:rPr>
          <w:rFonts w:hint="eastAsia" w:ascii="方正仿宋_GBK" w:hAnsi="宋体" w:eastAsia="方正仿宋_GBK"/>
          <w:color w:val="auto"/>
          <w:sz w:val="21"/>
          <w:szCs w:val="21"/>
          <w:highlight w:val="none"/>
        </w:rPr>
        <w:fldChar w:fldCharType="begin"/>
      </w:r>
      <w:r>
        <w:rPr>
          <w:rFonts w:hint="eastAsia" w:ascii="方正仿宋_GBK" w:hAnsi="宋体" w:eastAsia="方正仿宋_GBK"/>
          <w:color w:val="auto"/>
          <w:sz w:val="21"/>
          <w:szCs w:val="21"/>
          <w:highlight w:val="none"/>
        </w:rPr>
        <w:instrText xml:space="preserve"> TOC \o "1-3" \h \z </w:instrText>
      </w:r>
      <w:r>
        <w:rPr>
          <w:rFonts w:hint="eastAsia" w:ascii="方正仿宋_GBK" w:hAnsi="宋体" w:eastAsia="方正仿宋_GBK"/>
          <w:color w:val="auto"/>
          <w:sz w:val="21"/>
          <w:szCs w:val="21"/>
          <w:highlight w:val="none"/>
        </w:rPr>
        <w:fldChar w:fldCharType="separate"/>
      </w: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_Toc6735 </w:instrText>
      </w:r>
      <w:r>
        <w:rPr>
          <w:rFonts w:hint="eastAsia" w:ascii="方正仿宋_GBK" w:hAnsi="宋体" w:eastAsia="方正仿宋_GBK"/>
          <w:szCs w:val="21"/>
          <w:highlight w:val="none"/>
        </w:rPr>
        <w:fldChar w:fldCharType="separate"/>
      </w:r>
      <w:r>
        <w:rPr>
          <w:rFonts w:hint="eastAsia" w:ascii="方正小标宋_GBK" w:hAnsi="宋体" w:eastAsia="方正小标宋_GBK"/>
          <w:szCs w:val="30"/>
          <w:highlight w:val="none"/>
        </w:rPr>
        <w:t>第一篇  采购邀请书</w:t>
      </w:r>
      <w:r>
        <w:tab/>
      </w:r>
      <w:r>
        <w:fldChar w:fldCharType="begin"/>
      </w:r>
      <w:r>
        <w:instrText xml:space="preserve"> PAGEREF _Toc6735 \h </w:instrText>
      </w:r>
      <w:r>
        <w:fldChar w:fldCharType="separate"/>
      </w:r>
      <w:r>
        <w:t>- 1 -</w:t>
      </w:r>
      <w:r>
        <w:fldChar w:fldCharType="end"/>
      </w:r>
      <w:r>
        <w:rPr>
          <w:rFonts w:hint="eastAsia" w:ascii="方正仿宋_GBK" w:hAnsi="宋体" w:eastAsia="方正仿宋_GBK"/>
          <w:color w:val="auto"/>
          <w:szCs w:val="21"/>
          <w:highlight w:val="none"/>
        </w:rPr>
        <w:fldChar w:fldCharType="end"/>
      </w:r>
    </w:p>
    <w:p w14:paraId="1CD4BBB3">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_Toc14433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rPr>
        <w:t>一、竞争性磋商内容</w:t>
      </w:r>
      <w:r>
        <w:tab/>
      </w:r>
      <w:r>
        <w:fldChar w:fldCharType="begin"/>
      </w:r>
      <w:r>
        <w:instrText xml:space="preserve"> PAGEREF _Toc14433 \h </w:instrText>
      </w:r>
      <w:r>
        <w:fldChar w:fldCharType="separate"/>
      </w:r>
      <w:r>
        <w:t>- 1 -</w:t>
      </w:r>
      <w:r>
        <w:fldChar w:fldCharType="end"/>
      </w:r>
      <w:r>
        <w:rPr>
          <w:rFonts w:hint="eastAsia" w:ascii="方正仿宋_GBK" w:hAnsi="宋体" w:eastAsia="方正仿宋_GBK"/>
          <w:color w:val="auto"/>
          <w:szCs w:val="21"/>
          <w:highlight w:val="none"/>
        </w:rPr>
        <w:fldChar w:fldCharType="end"/>
      </w:r>
    </w:p>
    <w:p w14:paraId="7737B69E">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_Toc19403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rPr>
        <w:t>二、资金来源</w:t>
      </w:r>
      <w:r>
        <w:tab/>
      </w:r>
      <w:r>
        <w:fldChar w:fldCharType="begin"/>
      </w:r>
      <w:r>
        <w:instrText xml:space="preserve"> PAGEREF _Toc19403 \h </w:instrText>
      </w:r>
      <w:r>
        <w:fldChar w:fldCharType="separate"/>
      </w:r>
      <w:r>
        <w:t>- 1 -</w:t>
      </w:r>
      <w:r>
        <w:fldChar w:fldCharType="end"/>
      </w:r>
      <w:r>
        <w:rPr>
          <w:rFonts w:hint="eastAsia" w:ascii="方正仿宋_GBK" w:hAnsi="宋体" w:eastAsia="方正仿宋_GBK"/>
          <w:color w:val="auto"/>
          <w:szCs w:val="21"/>
          <w:highlight w:val="none"/>
        </w:rPr>
        <w:fldChar w:fldCharType="end"/>
      </w:r>
    </w:p>
    <w:p w14:paraId="413B9D82">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_Toc17303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rPr>
        <w:t>三、供应商资格条件</w:t>
      </w:r>
      <w:r>
        <w:tab/>
      </w:r>
      <w:r>
        <w:fldChar w:fldCharType="begin"/>
      </w:r>
      <w:r>
        <w:instrText xml:space="preserve"> PAGEREF _Toc17303 \h </w:instrText>
      </w:r>
      <w:r>
        <w:fldChar w:fldCharType="separate"/>
      </w:r>
      <w:r>
        <w:t>- 1 -</w:t>
      </w:r>
      <w:r>
        <w:fldChar w:fldCharType="end"/>
      </w:r>
      <w:r>
        <w:rPr>
          <w:rFonts w:hint="eastAsia" w:ascii="方正仿宋_GBK" w:hAnsi="宋体" w:eastAsia="方正仿宋_GBK"/>
          <w:color w:val="auto"/>
          <w:szCs w:val="21"/>
          <w:highlight w:val="none"/>
        </w:rPr>
        <w:fldChar w:fldCharType="end"/>
      </w:r>
    </w:p>
    <w:p w14:paraId="5A2B20F5">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_Toc5445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rPr>
        <w:t>四、磋商有关说明</w:t>
      </w:r>
      <w:r>
        <w:tab/>
      </w:r>
      <w:r>
        <w:fldChar w:fldCharType="begin"/>
      </w:r>
      <w:r>
        <w:instrText xml:space="preserve"> PAGEREF _Toc5445 \h </w:instrText>
      </w:r>
      <w:r>
        <w:fldChar w:fldCharType="separate"/>
      </w:r>
      <w:r>
        <w:t>- 1 -</w:t>
      </w:r>
      <w:r>
        <w:fldChar w:fldCharType="end"/>
      </w:r>
      <w:r>
        <w:rPr>
          <w:rFonts w:hint="eastAsia" w:ascii="方正仿宋_GBK" w:hAnsi="宋体" w:eastAsia="方正仿宋_GBK"/>
          <w:color w:val="auto"/>
          <w:szCs w:val="21"/>
          <w:highlight w:val="none"/>
        </w:rPr>
        <w:fldChar w:fldCharType="end"/>
      </w:r>
    </w:p>
    <w:p w14:paraId="606036F3">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_Toc18294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lang w:eastAsia="zh-CN"/>
        </w:rPr>
        <w:t>五</w:t>
      </w:r>
      <w:r>
        <w:rPr>
          <w:rFonts w:hint="eastAsia" w:ascii="方正仿宋_GBK" w:hAnsi="宋体" w:eastAsia="方正仿宋_GBK"/>
          <w:szCs w:val="24"/>
          <w:highlight w:val="none"/>
        </w:rPr>
        <w:t>、其它有关规定</w:t>
      </w:r>
      <w:r>
        <w:tab/>
      </w:r>
      <w:r>
        <w:fldChar w:fldCharType="begin"/>
      </w:r>
      <w:r>
        <w:instrText xml:space="preserve"> PAGEREF _Toc18294 \h </w:instrText>
      </w:r>
      <w:r>
        <w:fldChar w:fldCharType="separate"/>
      </w:r>
      <w:r>
        <w:t>- 2 -</w:t>
      </w:r>
      <w:r>
        <w:fldChar w:fldCharType="end"/>
      </w:r>
      <w:r>
        <w:rPr>
          <w:rFonts w:hint="eastAsia" w:ascii="方正仿宋_GBK" w:hAnsi="宋体" w:eastAsia="方正仿宋_GBK"/>
          <w:color w:val="auto"/>
          <w:szCs w:val="21"/>
          <w:highlight w:val="none"/>
        </w:rPr>
        <w:fldChar w:fldCharType="end"/>
      </w:r>
    </w:p>
    <w:p w14:paraId="3B9EC9B9">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_Toc996 </w:instrText>
      </w:r>
      <w:r>
        <w:rPr>
          <w:rFonts w:hint="eastAsia" w:ascii="方正仿宋_GBK" w:hAnsi="宋体" w:eastAsia="方正仿宋_GBK"/>
          <w:szCs w:val="21"/>
          <w:highlight w:val="none"/>
        </w:rPr>
        <w:fldChar w:fldCharType="separate"/>
      </w:r>
      <w:r>
        <w:rPr>
          <w:rFonts w:hint="eastAsia" w:ascii="方正仿宋_GBK" w:hAnsi="宋体" w:eastAsia="方正仿宋_GBK"/>
          <w:szCs w:val="24"/>
          <w:highlight w:val="none"/>
          <w:lang w:eastAsia="zh-CN"/>
        </w:rPr>
        <w:t>六</w:t>
      </w:r>
      <w:r>
        <w:rPr>
          <w:rFonts w:hint="eastAsia" w:ascii="方正仿宋_GBK" w:hAnsi="宋体" w:eastAsia="方正仿宋_GBK"/>
          <w:szCs w:val="24"/>
          <w:highlight w:val="none"/>
        </w:rPr>
        <w:t>、联系方式</w:t>
      </w:r>
      <w:r>
        <w:tab/>
      </w:r>
      <w:r>
        <w:fldChar w:fldCharType="begin"/>
      </w:r>
      <w:r>
        <w:instrText xml:space="preserve"> PAGEREF _Toc996 \h </w:instrText>
      </w:r>
      <w:r>
        <w:fldChar w:fldCharType="separate"/>
      </w:r>
      <w:r>
        <w:t>- 2 -</w:t>
      </w:r>
      <w:r>
        <w:fldChar w:fldCharType="end"/>
      </w:r>
      <w:r>
        <w:rPr>
          <w:rFonts w:hint="eastAsia" w:ascii="方正仿宋_GBK" w:hAnsi="宋体" w:eastAsia="方正仿宋_GBK"/>
          <w:color w:val="auto"/>
          <w:szCs w:val="21"/>
          <w:highlight w:val="none"/>
        </w:rPr>
        <w:fldChar w:fldCharType="end"/>
      </w:r>
    </w:p>
    <w:p w14:paraId="0733DA19">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_Toc15240 </w:instrText>
      </w:r>
      <w:r>
        <w:rPr>
          <w:rFonts w:hint="eastAsia" w:ascii="方正仿宋_GBK" w:hAnsi="宋体" w:eastAsia="方正仿宋_GBK"/>
          <w:szCs w:val="21"/>
          <w:highlight w:val="none"/>
        </w:rPr>
        <w:fldChar w:fldCharType="separate"/>
      </w:r>
      <w:r>
        <w:rPr>
          <w:rFonts w:hint="eastAsia" w:ascii="方正小标宋_GBK" w:hAnsi="宋体" w:eastAsia="方正小标宋_GBK" w:cs="Times New Roman"/>
          <w:bCs/>
          <w:szCs w:val="30"/>
          <w:highlight w:val="none"/>
          <w:lang w:val="en-US" w:eastAsia="zh-CN"/>
        </w:rPr>
        <w:t>第二篇</w:t>
      </w:r>
      <w:r>
        <w:rPr>
          <w:rFonts w:hint="eastAsia" w:ascii="方正小标宋_GBK" w:hAnsi="宋体" w:eastAsia="方正小标宋_GBK" w:cs="Times New Roman"/>
          <w:bCs/>
          <w:szCs w:val="30"/>
          <w:highlight w:val="none"/>
        </w:rPr>
        <w:t xml:space="preserve"> 项目服务需求</w:t>
      </w:r>
      <w:r>
        <w:tab/>
      </w:r>
      <w:r>
        <w:fldChar w:fldCharType="begin"/>
      </w:r>
      <w:r>
        <w:instrText xml:space="preserve"> PAGEREF _Toc15240 \h </w:instrText>
      </w:r>
      <w:r>
        <w:fldChar w:fldCharType="separate"/>
      </w:r>
      <w:r>
        <w:t>- 4 -</w:t>
      </w:r>
      <w:r>
        <w:fldChar w:fldCharType="end"/>
      </w:r>
      <w:r>
        <w:rPr>
          <w:rFonts w:hint="eastAsia" w:ascii="方正仿宋_GBK" w:hAnsi="宋体" w:eastAsia="方正仿宋_GBK"/>
          <w:color w:val="auto"/>
          <w:szCs w:val="21"/>
          <w:highlight w:val="none"/>
        </w:rPr>
        <w:fldChar w:fldCharType="end"/>
      </w:r>
    </w:p>
    <w:p w14:paraId="454358B0">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_Toc23555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一、项目基本概况介绍</w:t>
      </w:r>
      <w:r>
        <w:tab/>
      </w:r>
      <w:r>
        <w:fldChar w:fldCharType="begin"/>
      </w:r>
      <w:r>
        <w:instrText xml:space="preserve"> PAGEREF _Toc23555 \h </w:instrText>
      </w:r>
      <w:r>
        <w:fldChar w:fldCharType="separate"/>
      </w:r>
      <w:r>
        <w:t>- 4 -</w:t>
      </w:r>
      <w:r>
        <w:fldChar w:fldCharType="end"/>
      </w:r>
      <w:r>
        <w:rPr>
          <w:rFonts w:hint="eastAsia" w:ascii="方正仿宋_GBK" w:hAnsi="宋体" w:eastAsia="方正仿宋_GBK"/>
          <w:color w:val="auto"/>
          <w:szCs w:val="21"/>
          <w:highlight w:val="none"/>
        </w:rPr>
        <w:fldChar w:fldCharType="end"/>
      </w:r>
    </w:p>
    <w:p w14:paraId="20F330B0">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_Toc14799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二、</w:t>
      </w:r>
      <w:r>
        <w:rPr>
          <w:rFonts w:hint="eastAsia" w:ascii="方正仿宋_GBK" w:hAnsi="宋体" w:eastAsia="方正仿宋_GBK"/>
          <w:highlight w:val="none"/>
          <w:lang w:eastAsia="zh-CN"/>
        </w:rPr>
        <w:t>项目</w:t>
      </w:r>
      <w:r>
        <w:rPr>
          <w:rFonts w:hint="eastAsia" w:ascii="方正仿宋_GBK" w:hAnsi="宋体" w:eastAsia="方正仿宋_GBK"/>
          <w:highlight w:val="none"/>
        </w:rPr>
        <w:t>具体内容</w:t>
      </w:r>
      <w:r>
        <w:tab/>
      </w:r>
      <w:r>
        <w:fldChar w:fldCharType="begin"/>
      </w:r>
      <w:r>
        <w:instrText xml:space="preserve"> PAGEREF _Toc14799 \h </w:instrText>
      </w:r>
      <w:r>
        <w:fldChar w:fldCharType="separate"/>
      </w:r>
      <w:r>
        <w:t>- 4 -</w:t>
      </w:r>
      <w:r>
        <w:fldChar w:fldCharType="end"/>
      </w:r>
      <w:r>
        <w:rPr>
          <w:rFonts w:hint="eastAsia" w:ascii="方正仿宋_GBK" w:hAnsi="宋体" w:eastAsia="方正仿宋_GBK"/>
          <w:color w:val="auto"/>
          <w:szCs w:val="21"/>
          <w:highlight w:val="none"/>
        </w:rPr>
        <w:fldChar w:fldCharType="end"/>
      </w:r>
    </w:p>
    <w:p w14:paraId="2465262B">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_Toc25188 </w:instrText>
      </w:r>
      <w:r>
        <w:rPr>
          <w:rFonts w:hint="eastAsia" w:ascii="方正仿宋_GBK" w:hAnsi="宋体" w:eastAsia="方正仿宋_GBK"/>
          <w:szCs w:val="21"/>
          <w:highlight w:val="none"/>
        </w:rPr>
        <w:fldChar w:fldCharType="separate"/>
      </w:r>
      <w:r>
        <w:rPr>
          <w:rFonts w:hint="eastAsia" w:ascii="方正小标宋_GBK" w:hAnsi="宋体" w:eastAsia="方正小标宋_GBK"/>
          <w:szCs w:val="30"/>
          <w:highlight w:val="none"/>
        </w:rPr>
        <w:t>第三篇  项目商务需求</w:t>
      </w:r>
      <w:r>
        <w:tab/>
      </w:r>
      <w:r>
        <w:fldChar w:fldCharType="begin"/>
      </w:r>
      <w:r>
        <w:instrText xml:space="preserve"> PAGEREF _Toc25188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34FE33F6">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_Toc25508 </w:instrText>
      </w:r>
      <w:r>
        <w:rPr>
          <w:rFonts w:hint="eastAsia" w:ascii="方正仿宋_GBK" w:hAnsi="宋体" w:eastAsia="方正仿宋_GBK"/>
          <w:szCs w:val="21"/>
          <w:highlight w:val="none"/>
        </w:rPr>
        <w:fldChar w:fldCharType="separate"/>
      </w:r>
      <w:r>
        <w:rPr>
          <w:rFonts w:hint="eastAsia" w:ascii="方正仿宋_GBK" w:hAnsi="方正仿宋_GBK" w:eastAsia="方正仿宋_GBK" w:cs="方正仿宋_GBK"/>
          <w:highlight w:val="none"/>
        </w:rPr>
        <w:t>一、服务期、地点及验收方式</w:t>
      </w:r>
      <w:r>
        <w:tab/>
      </w:r>
      <w:r>
        <w:fldChar w:fldCharType="begin"/>
      </w:r>
      <w:r>
        <w:instrText xml:space="preserve"> PAGEREF _Toc25508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2AF7F24C">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_Toc27676 </w:instrText>
      </w:r>
      <w:r>
        <w:rPr>
          <w:rFonts w:hint="eastAsia" w:ascii="方正仿宋_GBK" w:hAnsi="宋体" w:eastAsia="方正仿宋_GBK"/>
          <w:szCs w:val="21"/>
          <w:highlight w:val="none"/>
        </w:rPr>
        <w:fldChar w:fldCharType="separate"/>
      </w:r>
      <w:r>
        <w:rPr>
          <w:rFonts w:hint="eastAsia" w:ascii="方正仿宋_GBK" w:hAnsi="方正仿宋_GBK" w:eastAsia="方正仿宋_GBK" w:cs="方正仿宋_GBK"/>
          <w:highlight w:val="none"/>
        </w:rPr>
        <w:t>二、报价要求</w:t>
      </w:r>
      <w:r>
        <w:tab/>
      </w:r>
      <w:r>
        <w:fldChar w:fldCharType="begin"/>
      </w:r>
      <w:r>
        <w:instrText xml:space="preserve"> PAGEREF _Toc27676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0A18BD6C">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_Toc30332 </w:instrText>
      </w:r>
      <w:r>
        <w:rPr>
          <w:rFonts w:hint="eastAsia" w:ascii="方正仿宋_GBK" w:hAnsi="宋体" w:eastAsia="方正仿宋_GBK"/>
          <w:szCs w:val="21"/>
          <w:highlight w:val="none"/>
        </w:rPr>
        <w:fldChar w:fldCharType="separate"/>
      </w:r>
      <w:r>
        <w:rPr>
          <w:rFonts w:hint="eastAsia" w:ascii="方正仿宋_GBK" w:hAnsi="方正仿宋_GBK" w:eastAsia="方正仿宋_GBK" w:cs="方正仿宋_GBK"/>
          <w:highlight w:val="none"/>
        </w:rPr>
        <w:t>三、付款方式</w:t>
      </w:r>
      <w:r>
        <w:tab/>
      </w:r>
      <w:r>
        <w:fldChar w:fldCharType="begin"/>
      </w:r>
      <w:r>
        <w:instrText xml:space="preserve"> PAGEREF _Toc30332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50843F0E">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_Toc21167 </w:instrText>
      </w:r>
      <w:r>
        <w:rPr>
          <w:rFonts w:hint="eastAsia" w:ascii="方正仿宋_GBK" w:hAnsi="宋体" w:eastAsia="方正仿宋_GBK"/>
          <w:szCs w:val="21"/>
          <w:highlight w:val="none"/>
        </w:rPr>
        <w:fldChar w:fldCharType="separate"/>
      </w:r>
      <w:r>
        <w:rPr>
          <w:rFonts w:hint="eastAsia" w:ascii="方正仿宋_GBK" w:hAnsi="方正仿宋_GBK" w:eastAsia="方正仿宋_GBK" w:cs="方正仿宋_GBK"/>
          <w:highlight w:val="none"/>
        </w:rPr>
        <w:t>四、质量保证及相关服务</w:t>
      </w:r>
      <w:r>
        <w:tab/>
      </w:r>
      <w:r>
        <w:fldChar w:fldCharType="begin"/>
      </w:r>
      <w:r>
        <w:instrText xml:space="preserve"> PAGEREF _Toc21167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22DFDA14">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_Toc22544 </w:instrText>
      </w:r>
      <w:r>
        <w:rPr>
          <w:rFonts w:hint="eastAsia" w:ascii="方正仿宋_GBK" w:hAnsi="宋体" w:eastAsia="方正仿宋_GBK"/>
          <w:szCs w:val="21"/>
          <w:highlight w:val="none"/>
        </w:rPr>
        <w:fldChar w:fldCharType="separate"/>
      </w:r>
      <w:r>
        <w:rPr>
          <w:rFonts w:hint="eastAsia" w:ascii="方正仿宋_GBK" w:hAnsi="宋体" w:eastAsia="方正仿宋_GBK" w:cs="Times New Roman"/>
          <w:highlight w:val="none"/>
          <w:lang w:val="en-US" w:eastAsia="zh-CN"/>
        </w:rPr>
        <w:t>五</w:t>
      </w:r>
      <w:r>
        <w:rPr>
          <w:rFonts w:hint="eastAsia" w:ascii="方正仿宋_GBK" w:hAnsi="宋体" w:eastAsia="方正仿宋_GBK" w:cs="Times New Roman"/>
          <w:highlight w:val="none"/>
        </w:rPr>
        <w:t>、知识产权</w:t>
      </w:r>
      <w:r>
        <w:tab/>
      </w:r>
      <w:r>
        <w:fldChar w:fldCharType="begin"/>
      </w:r>
      <w:r>
        <w:instrText xml:space="preserve"> PAGEREF _Toc22544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64E5FC29">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_Toc5681 </w:instrText>
      </w:r>
      <w:r>
        <w:rPr>
          <w:rFonts w:hint="eastAsia" w:ascii="方正仿宋_GBK" w:hAnsi="宋体" w:eastAsia="方正仿宋_GBK"/>
          <w:szCs w:val="21"/>
          <w:highlight w:val="none"/>
        </w:rPr>
        <w:fldChar w:fldCharType="separate"/>
      </w:r>
      <w:r>
        <w:rPr>
          <w:rFonts w:hint="eastAsia" w:ascii="方正仿宋_GBK" w:hAnsi="方正仿宋_GBK" w:eastAsia="方正仿宋_GBK" w:cs="方正仿宋_GBK"/>
          <w:highlight w:val="none"/>
          <w:lang w:val="en-US" w:eastAsia="zh-CN"/>
        </w:rPr>
        <w:t>六</w:t>
      </w:r>
      <w:r>
        <w:rPr>
          <w:rFonts w:hint="eastAsia" w:ascii="方正仿宋_GBK" w:hAnsi="方正仿宋_GBK" w:eastAsia="方正仿宋_GBK" w:cs="方正仿宋_GBK"/>
          <w:highlight w:val="none"/>
        </w:rPr>
        <w:t>、其他</w:t>
      </w:r>
      <w:r>
        <w:tab/>
      </w:r>
      <w:r>
        <w:fldChar w:fldCharType="begin"/>
      </w:r>
      <w:r>
        <w:instrText xml:space="preserve"> PAGEREF _Toc5681 \h </w:instrText>
      </w:r>
      <w:r>
        <w:fldChar w:fldCharType="separate"/>
      </w:r>
      <w:r>
        <w:t>- 9 -</w:t>
      </w:r>
      <w:r>
        <w:fldChar w:fldCharType="end"/>
      </w:r>
      <w:r>
        <w:rPr>
          <w:rFonts w:hint="eastAsia" w:ascii="方正仿宋_GBK" w:hAnsi="宋体" w:eastAsia="方正仿宋_GBK"/>
          <w:color w:val="auto"/>
          <w:szCs w:val="21"/>
          <w:highlight w:val="none"/>
        </w:rPr>
        <w:fldChar w:fldCharType="end"/>
      </w:r>
    </w:p>
    <w:p w14:paraId="29842911">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_Toc23667 </w:instrText>
      </w:r>
      <w:r>
        <w:rPr>
          <w:rFonts w:hint="eastAsia" w:ascii="方正仿宋_GBK" w:hAnsi="宋体" w:eastAsia="方正仿宋_GBK"/>
          <w:szCs w:val="21"/>
          <w:highlight w:val="none"/>
        </w:rPr>
        <w:fldChar w:fldCharType="separate"/>
      </w:r>
      <w:r>
        <w:rPr>
          <w:rFonts w:hint="eastAsia" w:ascii="方正小标宋_GBK" w:hAnsi="宋体" w:eastAsia="方正小标宋_GBK"/>
          <w:szCs w:val="30"/>
          <w:highlight w:val="none"/>
        </w:rPr>
        <w:t>第四篇  磋商程序及方法、评审标准、无效响应和</w:t>
      </w:r>
      <w:r>
        <w:rPr>
          <w:rFonts w:hint="eastAsia" w:ascii="方正小标宋_GBK" w:eastAsia="方正小标宋_GBK"/>
          <w:szCs w:val="36"/>
          <w:highlight w:val="none"/>
        </w:rPr>
        <w:t>采购终止</w:t>
      </w:r>
      <w:r>
        <w:tab/>
      </w:r>
      <w:r>
        <w:fldChar w:fldCharType="begin"/>
      </w:r>
      <w:r>
        <w:instrText xml:space="preserve"> PAGEREF _Toc23667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14:paraId="64A36FFF">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_Toc1394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一、磋商程序及方法</w:t>
      </w:r>
      <w:r>
        <w:tab/>
      </w:r>
      <w:r>
        <w:fldChar w:fldCharType="begin"/>
      </w:r>
      <w:r>
        <w:instrText xml:space="preserve"> PAGEREF _Toc1394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14:paraId="3B56BAD6">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_Toc24085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二、评审标准</w:t>
      </w:r>
      <w:r>
        <w:tab/>
      </w:r>
      <w:r>
        <w:fldChar w:fldCharType="begin"/>
      </w:r>
      <w:r>
        <w:instrText xml:space="preserve"> PAGEREF _Toc24085 \h </w:instrText>
      </w:r>
      <w:r>
        <w:fldChar w:fldCharType="separate"/>
      </w:r>
      <w:r>
        <w:t>- 12 -</w:t>
      </w:r>
      <w:r>
        <w:fldChar w:fldCharType="end"/>
      </w:r>
      <w:r>
        <w:rPr>
          <w:rFonts w:hint="eastAsia" w:ascii="方正仿宋_GBK" w:hAnsi="宋体" w:eastAsia="方正仿宋_GBK"/>
          <w:color w:val="auto"/>
          <w:szCs w:val="21"/>
          <w:highlight w:val="none"/>
        </w:rPr>
        <w:fldChar w:fldCharType="end"/>
      </w:r>
    </w:p>
    <w:p w14:paraId="602BFCAB">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_Toc17530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三、无效响应</w:t>
      </w:r>
      <w:r>
        <w:tab/>
      </w:r>
      <w:r>
        <w:fldChar w:fldCharType="begin"/>
      </w:r>
      <w:r>
        <w:instrText xml:space="preserve"> PAGEREF _Toc17530 \h </w:instrText>
      </w:r>
      <w:r>
        <w:fldChar w:fldCharType="separate"/>
      </w:r>
      <w:r>
        <w:t>- 14 -</w:t>
      </w:r>
      <w:r>
        <w:fldChar w:fldCharType="end"/>
      </w:r>
      <w:r>
        <w:rPr>
          <w:rFonts w:hint="eastAsia" w:ascii="方正仿宋_GBK" w:hAnsi="宋体" w:eastAsia="方正仿宋_GBK"/>
          <w:color w:val="auto"/>
          <w:szCs w:val="21"/>
          <w:highlight w:val="none"/>
        </w:rPr>
        <w:fldChar w:fldCharType="end"/>
      </w:r>
    </w:p>
    <w:p w14:paraId="465B7584">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_Toc16084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四、采购终止</w:t>
      </w:r>
      <w:r>
        <w:tab/>
      </w:r>
      <w:r>
        <w:fldChar w:fldCharType="begin"/>
      </w:r>
      <w:r>
        <w:instrText xml:space="preserve"> PAGEREF _Toc16084 \h </w:instrText>
      </w:r>
      <w:r>
        <w:fldChar w:fldCharType="separate"/>
      </w:r>
      <w:r>
        <w:t>- 14 -</w:t>
      </w:r>
      <w:r>
        <w:fldChar w:fldCharType="end"/>
      </w:r>
      <w:r>
        <w:rPr>
          <w:rFonts w:hint="eastAsia" w:ascii="方正仿宋_GBK" w:hAnsi="宋体" w:eastAsia="方正仿宋_GBK"/>
          <w:color w:val="auto"/>
          <w:szCs w:val="21"/>
          <w:highlight w:val="none"/>
        </w:rPr>
        <w:fldChar w:fldCharType="end"/>
      </w:r>
    </w:p>
    <w:p w14:paraId="18BFFD8F">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_Toc3033 </w:instrText>
      </w:r>
      <w:r>
        <w:rPr>
          <w:rFonts w:hint="eastAsia" w:ascii="方正仿宋_GBK" w:hAnsi="宋体" w:eastAsia="方正仿宋_GBK"/>
          <w:szCs w:val="21"/>
          <w:highlight w:val="none"/>
        </w:rPr>
        <w:fldChar w:fldCharType="separate"/>
      </w:r>
      <w:r>
        <w:rPr>
          <w:rFonts w:hint="eastAsia" w:ascii="方正小标宋_GBK" w:hAnsi="宋体" w:eastAsia="方正小标宋_GBK"/>
          <w:bCs/>
          <w:szCs w:val="30"/>
          <w:highlight w:val="none"/>
        </w:rPr>
        <w:t>第五篇  供应商须知</w:t>
      </w:r>
      <w:r>
        <w:tab/>
      </w:r>
      <w:r>
        <w:fldChar w:fldCharType="begin"/>
      </w:r>
      <w:r>
        <w:instrText xml:space="preserve"> PAGEREF _Toc3033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14:paraId="272CD02F">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_Toc25214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一、磋商费用</w:t>
      </w:r>
      <w:r>
        <w:tab/>
      </w:r>
      <w:r>
        <w:fldChar w:fldCharType="begin"/>
      </w:r>
      <w:r>
        <w:instrText xml:space="preserve"> PAGEREF _Toc25214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14:paraId="40A7E338">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_Toc4002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二、竞争性磋商文件</w:t>
      </w:r>
      <w:r>
        <w:tab/>
      </w:r>
      <w:r>
        <w:fldChar w:fldCharType="begin"/>
      </w:r>
      <w:r>
        <w:instrText xml:space="preserve"> PAGEREF _Toc4002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14:paraId="2448DEFB">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_Toc30321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三、磋商要求</w:t>
      </w:r>
      <w:r>
        <w:tab/>
      </w:r>
      <w:r>
        <w:fldChar w:fldCharType="begin"/>
      </w:r>
      <w:r>
        <w:instrText xml:space="preserve"> PAGEREF _Toc30321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14:paraId="7448F728">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_Toc13059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四、成交供应商的确认和变更</w:t>
      </w:r>
      <w:r>
        <w:tab/>
      </w:r>
      <w:r>
        <w:fldChar w:fldCharType="begin"/>
      </w:r>
      <w:r>
        <w:instrText xml:space="preserve"> PAGEREF _Toc13059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14:paraId="073A8267">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_Toc14145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五、成交通知</w:t>
      </w:r>
      <w:r>
        <w:tab/>
      </w:r>
      <w:r>
        <w:fldChar w:fldCharType="begin"/>
      </w:r>
      <w:r>
        <w:instrText xml:space="preserve"> PAGEREF _Toc14145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14:paraId="3C2632AA">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_Toc5592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六、关于质疑和投诉</w:t>
      </w:r>
      <w:r>
        <w:tab/>
      </w:r>
      <w:r>
        <w:fldChar w:fldCharType="begin"/>
      </w:r>
      <w:r>
        <w:instrText xml:space="preserve"> PAGEREF _Toc5592 \h </w:instrText>
      </w:r>
      <w:r>
        <w:fldChar w:fldCharType="separate"/>
      </w:r>
      <w:r>
        <w:t>- 17 -</w:t>
      </w:r>
      <w:r>
        <w:fldChar w:fldCharType="end"/>
      </w:r>
      <w:r>
        <w:rPr>
          <w:rFonts w:hint="eastAsia" w:ascii="方正仿宋_GBK" w:hAnsi="宋体" w:eastAsia="方正仿宋_GBK"/>
          <w:color w:val="auto"/>
          <w:szCs w:val="21"/>
          <w:highlight w:val="none"/>
        </w:rPr>
        <w:fldChar w:fldCharType="end"/>
      </w:r>
    </w:p>
    <w:p w14:paraId="6921104B">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_Toc11405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七、采购代理服务费</w:t>
      </w:r>
      <w:r>
        <w:tab/>
      </w:r>
      <w:r>
        <w:fldChar w:fldCharType="begin"/>
      </w:r>
      <w:r>
        <w:instrText xml:space="preserve"> PAGEREF _Toc11405 \h </w:instrText>
      </w:r>
      <w:r>
        <w:fldChar w:fldCharType="separate"/>
      </w:r>
      <w:r>
        <w:t>- 18 -</w:t>
      </w:r>
      <w:r>
        <w:fldChar w:fldCharType="end"/>
      </w:r>
      <w:r>
        <w:rPr>
          <w:rFonts w:hint="eastAsia" w:ascii="方正仿宋_GBK" w:hAnsi="宋体" w:eastAsia="方正仿宋_GBK"/>
          <w:color w:val="auto"/>
          <w:szCs w:val="21"/>
          <w:highlight w:val="none"/>
        </w:rPr>
        <w:fldChar w:fldCharType="end"/>
      </w:r>
    </w:p>
    <w:p w14:paraId="03CFA968">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_Toc13235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lang w:val="en-US" w:eastAsia="zh-CN"/>
        </w:rPr>
        <w:t>八</w:t>
      </w:r>
      <w:r>
        <w:rPr>
          <w:rFonts w:hint="eastAsia" w:ascii="方正仿宋_GBK" w:hAnsi="宋体" w:eastAsia="方正仿宋_GBK"/>
          <w:highlight w:val="none"/>
        </w:rPr>
        <w:t>、签订合同</w:t>
      </w:r>
      <w:r>
        <w:tab/>
      </w:r>
      <w:r>
        <w:fldChar w:fldCharType="begin"/>
      </w:r>
      <w:r>
        <w:instrText xml:space="preserve"> PAGEREF _Toc13235 \h </w:instrText>
      </w:r>
      <w:r>
        <w:fldChar w:fldCharType="separate"/>
      </w:r>
      <w:r>
        <w:t>- 18 -</w:t>
      </w:r>
      <w:r>
        <w:fldChar w:fldCharType="end"/>
      </w:r>
      <w:r>
        <w:rPr>
          <w:rFonts w:hint="eastAsia" w:ascii="方正仿宋_GBK" w:hAnsi="宋体" w:eastAsia="方正仿宋_GBK"/>
          <w:color w:val="auto"/>
          <w:szCs w:val="21"/>
          <w:highlight w:val="none"/>
        </w:rPr>
        <w:fldChar w:fldCharType="end"/>
      </w:r>
    </w:p>
    <w:p w14:paraId="0E08DC51">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_Toc21602 </w:instrText>
      </w:r>
      <w:r>
        <w:rPr>
          <w:rFonts w:hint="eastAsia" w:ascii="方正仿宋_GBK" w:hAnsi="宋体" w:eastAsia="方正仿宋_GBK"/>
          <w:szCs w:val="21"/>
          <w:highlight w:val="none"/>
        </w:rPr>
        <w:fldChar w:fldCharType="separate"/>
      </w:r>
      <w:r>
        <w:rPr>
          <w:rFonts w:hint="eastAsia" w:ascii="方正小标宋_GBK" w:hAnsi="宋体" w:eastAsia="方正小标宋_GBK"/>
          <w:szCs w:val="30"/>
          <w:highlight w:val="none"/>
        </w:rPr>
        <w:t>第六篇  政府采购合同</w:t>
      </w:r>
      <w:r>
        <w:tab/>
      </w:r>
      <w:r>
        <w:fldChar w:fldCharType="begin"/>
      </w:r>
      <w:r>
        <w:instrText xml:space="preserve"> PAGEREF _Toc21602 \h </w:instrText>
      </w:r>
      <w:r>
        <w:fldChar w:fldCharType="separate"/>
      </w:r>
      <w:r>
        <w:t>- 19 -</w:t>
      </w:r>
      <w:r>
        <w:fldChar w:fldCharType="end"/>
      </w:r>
      <w:r>
        <w:rPr>
          <w:rFonts w:hint="eastAsia" w:ascii="方正仿宋_GBK" w:hAnsi="宋体" w:eastAsia="方正仿宋_GBK"/>
          <w:color w:val="auto"/>
          <w:szCs w:val="21"/>
          <w:highlight w:val="none"/>
        </w:rPr>
        <w:fldChar w:fldCharType="end"/>
      </w:r>
    </w:p>
    <w:p w14:paraId="499FCF84">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_Toc18467 </w:instrText>
      </w:r>
      <w:r>
        <w:rPr>
          <w:rFonts w:hint="eastAsia" w:ascii="方正仿宋_GBK" w:hAnsi="宋体" w:eastAsia="方正仿宋_GBK"/>
          <w:szCs w:val="21"/>
          <w:highlight w:val="none"/>
        </w:rPr>
        <w:fldChar w:fldCharType="separate"/>
      </w:r>
      <w:r>
        <w:rPr>
          <w:rFonts w:hint="eastAsia" w:ascii="方正小标宋_GBK" w:hAnsi="宋体" w:eastAsia="方正小标宋_GBK"/>
          <w:szCs w:val="30"/>
          <w:highlight w:val="none"/>
        </w:rPr>
        <w:t>第七篇  响应文件编制要求</w:t>
      </w:r>
      <w:r>
        <w:tab/>
      </w:r>
      <w:r>
        <w:fldChar w:fldCharType="begin"/>
      </w:r>
      <w:r>
        <w:instrText xml:space="preserve"> PAGEREF _Toc18467 \h </w:instrText>
      </w:r>
      <w:r>
        <w:fldChar w:fldCharType="separate"/>
      </w:r>
      <w:r>
        <w:t>- 20 -</w:t>
      </w:r>
      <w:r>
        <w:fldChar w:fldCharType="end"/>
      </w:r>
      <w:r>
        <w:rPr>
          <w:rFonts w:hint="eastAsia" w:ascii="方正仿宋_GBK" w:hAnsi="宋体" w:eastAsia="方正仿宋_GBK"/>
          <w:color w:val="auto"/>
          <w:szCs w:val="21"/>
          <w:highlight w:val="none"/>
        </w:rPr>
        <w:fldChar w:fldCharType="end"/>
      </w:r>
    </w:p>
    <w:p w14:paraId="5F1237A2">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_Toc17124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一、经济部分</w:t>
      </w:r>
      <w:r>
        <w:tab/>
      </w:r>
      <w:r>
        <w:fldChar w:fldCharType="begin"/>
      </w:r>
      <w:r>
        <w:instrText xml:space="preserve"> PAGEREF _Toc17124 \h </w:instrText>
      </w:r>
      <w:r>
        <w:fldChar w:fldCharType="separate"/>
      </w:r>
      <w:r>
        <w:t>- 21 -</w:t>
      </w:r>
      <w:r>
        <w:fldChar w:fldCharType="end"/>
      </w:r>
      <w:r>
        <w:rPr>
          <w:rFonts w:hint="eastAsia" w:ascii="方正仿宋_GBK" w:hAnsi="宋体" w:eastAsia="方正仿宋_GBK"/>
          <w:color w:val="auto"/>
          <w:szCs w:val="21"/>
          <w:highlight w:val="none"/>
        </w:rPr>
        <w:fldChar w:fldCharType="end"/>
      </w:r>
    </w:p>
    <w:p w14:paraId="12A588DD">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_Toc2632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二、服务部分</w:t>
      </w:r>
      <w:r>
        <w:tab/>
      </w:r>
      <w:r>
        <w:fldChar w:fldCharType="begin"/>
      </w:r>
      <w:r>
        <w:instrText xml:space="preserve"> PAGEREF _Toc2632 \h </w:instrText>
      </w:r>
      <w:r>
        <w:fldChar w:fldCharType="separate"/>
      </w:r>
      <w:r>
        <w:t>- 22 -</w:t>
      </w:r>
      <w:r>
        <w:fldChar w:fldCharType="end"/>
      </w:r>
      <w:r>
        <w:rPr>
          <w:rFonts w:hint="eastAsia" w:ascii="方正仿宋_GBK" w:hAnsi="宋体" w:eastAsia="方正仿宋_GBK"/>
          <w:color w:val="auto"/>
          <w:szCs w:val="21"/>
          <w:highlight w:val="none"/>
        </w:rPr>
        <w:fldChar w:fldCharType="end"/>
      </w:r>
    </w:p>
    <w:p w14:paraId="5E08A3FE">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_Toc8213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三、商务部分</w:t>
      </w:r>
      <w:r>
        <w:tab/>
      </w:r>
      <w:r>
        <w:fldChar w:fldCharType="begin"/>
      </w:r>
      <w:r>
        <w:instrText xml:space="preserve"> PAGEREF _Toc8213 \h </w:instrText>
      </w:r>
      <w:r>
        <w:fldChar w:fldCharType="separate"/>
      </w:r>
      <w:r>
        <w:t>- 24 -</w:t>
      </w:r>
      <w:r>
        <w:fldChar w:fldCharType="end"/>
      </w:r>
      <w:r>
        <w:rPr>
          <w:rFonts w:hint="eastAsia" w:ascii="方正仿宋_GBK" w:hAnsi="宋体" w:eastAsia="方正仿宋_GBK"/>
          <w:color w:val="auto"/>
          <w:szCs w:val="21"/>
          <w:highlight w:val="none"/>
        </w:rPr>
        <w:fldChar w:fldCharType="end"/>
      </w:r>
    </w:p>
    <w:p w14:paraId="1D43890A">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_Toc8693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四、资格条件</w:t>
      </w:r>
      <w:r>
        <w:tab/>
      </w:r>
      <w:r>
        <w:fldChar w:fldCharType="begin"/>
      </w:r>
      <w:r>
        <w:instrText xml:space="preserve"> PAGEREF _Toc8693 \h </w:instrText>
      </w:r>
      <w:r>
        <w:fldChar w:fldCharType="separate"/>
      </w:r>
      <w:r>
        <w:t>- 26 -</w:t>
      </w:r>
      <w:r>
        <w:fldChar w:fldCharType="end"/>
      </w:r>
      <w:r>
        <w:rPr>
          <w:rFonts w:hint="eastAsia" w:ascii="方正仿宋_GBK" w:hAnsi="宋体" w:eastAsia="方正仿宋_GBK"/>
          <w:color w:val="auto"/>
          <w:szCs w:val="21"/>
          <w:highlight w:val="none"/>
        </w:rPr>
        <w:fldChar w:fldCharType="end"/>
      </w:r>
    </w:p>
    <w:p w14:paraId="4262BCA1">
      <w:pPr>
        <w:pStyle w:val="46"/>
        <w:tabs>
          <w:tab w:val="right" w:leader="dot" w:pos="9412"/>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_Toc31980 </w:instrText>
      </w:r>
      <w:r>
        <w:rPr>
          <w:rFonts w:hint="eastAsia" w:ascii="方正仿宋_GBK" w:hAnsi="宋体" w:eastAsia="方正仿宋_GBK"/>
          <w:szCs w:val="21"/>
          <w:highlight w:val="none"/>
        </w:rPr>
        <w:fldChar w:fldCharType="separate"/>
      </w:r>
      <w:r>
        <w:rPr>
          <w:rFonts w:hint="eastAsia" w:ascii="方正仿宋_GBK" w:hAnsi="宋体" w:eastAsia="方正仿宋_GBK"/>
          <w:highlight w:val="none"/>
        </w:rPr>
        <w:t>五、其他资料</w:t>
      </w:r>
      <w:r>
        <w:tab/>
      </w:r>
      <w:r>
        <w:fldChar w:fldCharType="begin"/>
      </w:r>
      <w:r>
        <w:instrText xml:space="preserve"> PAGEREF _Toc31980 \h </w:instrText>
      </w:r>
      <w:r>
        <w:fldChar w:fldCharType="separate"/>
      </w:r>
      <w:r>
        <w:t>- 30 -</w:t>
      </w:r>
      <w:r>
        <w:fldChar w:fldCharType="end"/>
      </w:r>
      <w:r>
        <w:rPr>
          <w:rFonts w:hint="eastAsia" w:ascii="方正仿宋_GBK" w:hAnsi="宋体" w:eastAsia="方正仿宋_GBK"/>
          <w:color w:val="auto"/>
          <w:szCs w:val="21"/>
          <w:highlight w:val="none"/>
        </w:rPr>
        <w:fldChar w:fldCharType="end"/>
      </w:r>
    </w:p>
    <w:p w14:paraId="303CEA40">
      <w:pPr>
        <w:pStyle w:val="46"/>
        <w:tabs>
          <w:tab w:val="right" w:leader="dot" w:pos="9402"/>
        </w:tabs>
        <w:spacing w:line="480" w:lineRule="exact"/>
        <w:ind w:left="560"/>
        <w:jc w:val="center"/>
        <w:rPr>
          <w:rFonts w:ascii="方正仿宋_GBK" w:hAnsi="Calibri" w:eastAsia="方正仿宋_GBK"/>
          <w:color w:val="auto"/>
          <w:sz w:val="18"/>
          <w:szCs w:val="22"/>
          <w:highlight w:val="none"/>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color w:val="auto"/>
          <w:szCs w:val="21"/>
          <w:highlight w:val="none"/>
        </w:rPr>
        <w:fldChar w:fldCharType="end"/>
      </w:r>
    </w:p>
    <w:p w14:paraId="6770D7F3">
      <w:pPr>
        <w:pStyle w:val="3"/>
        <w:spacing w:line="360" w:lineRule="auto"/>
        <w:jc w:val="center"/>
        <w:rPr>
          <w:rFonts w:hint="eastAsia" w:ascii="方正小标宋_GBK" w:hAnsi="宋体" w:eastAsia="方正小标宋_GBK"/>
          <w:b w:val="0"/>
          <w:color w:val="auto"/>
          <w:szCs w:val="30"/>
          <w:highlight w:val="none"/>
        </w:rPr>
      </w:pPr>
      <w:bookmarkStart w:id="0" w:name="_Toc106030870"/>
      <w:bookmarkStart w:id="1" w:name="_Toc11641050"/>
      <w:bookmarkStart w:id="2" w:name="_Toc6735"/>
      <w:bookmarkStart w:id="3" w:name="_Toc76462316"/>
      <w:bookmarkStart w:id="4" w:name="_Toc12789052"/>
      <w:r>
        <w:rPr>
          <w:rFonts w:hint="eastAsia" w:ascii="方正小标宋_GBK" w:hAnsi="宋体" w:eastAsia="方正小标宋_GBK"/>
          <w:b w:val="0"/>
          <w:color w:val="auto"/>
          <w:sz w:val="36"/>
          <w:szCs w:val="30"/>
          <w:highlight w:val="none"/>
        </w:rPr>
        <w:t>第一篇  采购邀请书</w:t>
      </w:r>
      <w:bookmarkEnd w:id="0"/>
      <w:bookmarkEnd w:id="1"/>
      <w:bookmarkEnd w:id="2"/>
      <w:bookmarkEnd w:id="3"/>
      <w:bookmarkEnd w:id="4"/>
    </w:p>
    <w:p w14:paraId="51F25313">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lang w:eastAsia="zh-CN"/>
        </w:rPr>
        <w:t>重庆云远项目管理有限公司</w:t>
      </w:r>
      <w:r>
        <w:rPr>
          <w:rFonts w:hint="eastAsia" w:ascii="方正仿宋_GBK" w:hAnsi="宋体" w:eastAsia="方正仿宋_GBK"/>
          <w:color w:val="auto"/>
          <w:sz w:val="24"/>
          <w:szCs w:val="24"/>
          <w:highlight w:val="none"/>
        </w:rPr>
        <w:t>（以下简称：采购代理机构）接受</w:t>
      </w:r>
      <w:r>
        <w:rPr>
          <w:rFonts w:hint="eastAsia" w:ascii="方正仿宋_GBK" w:hAnsi="宋体" w:eastAsia="方正仿宋_GBK"/>
          <w:color w:val="auto"/>
          <w:sz w:val="24"/>
          <w:szCs w:val="24"/>
          <w:highlight w:val="none"/>
          <w:lang w:eastAsia="zh-CN"/>
        </w:rPr>
        <w:t>重庆市总工会</w:t>
      </w:r>
      <w:r>
        <w:rPr>
          <w:rFonts w:hint="eastAsia" w:ascii="方正仿宋_GBK" w:hAnsi="宋体" w:eastAsia="方正仿宋_GBK"/>
          <w:color w:val="auto"/>
          <w:sz w:val="24"/>
          <w:szCs w:val="24"/>
          <w:highlight w:val="none"/>
        </w:rPr>
        <w:t>（以下简称：采购人）的委托，对</w:t>
      </w:r>
      <w:r>
        <w:rPr>
          <w:rFonts w:hint="eastAsia" w:ascii="方正仿宋_GBK" w:hAnsi="宋体" w:eastAsia="方正仿宋_GBK"/>
          <w:color w:val="auto"/>
          <w:sz w:val="24"/>
          <w:szCs w:val="24"/>
          <w:highlight w:val="none"/>
          <w:lang w:eastAsia="zh-CN"/>
        </w:rPr>
        <w:t>重庆市职工文体“双促”数字场景技术服务项目（第二次）</w:t>
      </w:r>
      <w:r>
        <w:rPr>
          <w:rFonts w:hint="eastAsia" w:ascii="方正仿宋_GBK" w:hAnsi="宋体" w:eastAsia="方正仿宋_GBK"/>
          <w:color w:val="auto"/>
          <w:sz w:val="24"/>
          <w:szCs w:val="24"/>
          <w:highlight w:val="none"/>
        </w:rPr>
        <w:t>进行竞争性磋商采购。欢迎有资格的供应商前来参与磋商。</w:t>
      </w:r>
    </w:p>
    <w:p w14:paraId="5CE85FCA">
      <w:pPr>
        <w:pStyle w:val="3"/>
        <w:adjustRightInd w:val="0"/>
        <w:snapToGrid w:val="0"/>
        <w:spacing w:before="0" w:after="0" w:line="400" w:lineRule="exact"/>
        <w:ind w:firstLine="482" w:firstLineChars="200"/>
        <w:rPr>
          <w:rFonts w:ascii="方正仿宋_GBK" w:hAnsi="宋体" w:eastAsia="方正仿宋_GBK"/>
          <w:color w:val="auto"/>
          <w:sz w:val="24"/>
          <w:szCs w:val="24"/>
          <w:highlight w:val="none"/>
        </w:rPr>
      </w:pPr>
      <w:bookmarkStart w:id="5" w:name="_Toc313893526"/>
      <w:bookmarkStart w:id="6" w:name="_Toc106030871"/>
      <w:bookmarkStart w:id="7" w:name="_Toc317775175"/>
      <w:bookmarkStart w:id="8" w:name="_Toc14433"/>
      <w:bookmarkStart w:id="9" w:name="_Toc76462317"/>
      <w:r>
        <w:rPr>
          <w:rFonts w:hint="eastAsia" w:ascii="方正仿宋_GBK" w:hAnsi="宋体" w:eastAsia="方正仿宋_GBK"/>
          <w:color w:val="auto"/>
          <w:sz w:val="24"/>
          <w:szCs w:val="24"/>
          <w:highlight w:val="none"/>
        </w:rPr>
        <w:t>一、竞争性磋商内容</w:t>
      </w:r>
      <w:bookmarkEnd w:id="5"/>
      <w:bookmarkEnd w:id="6"/>
      <w:bookmarkEnd w:id="7"/>
      <w:bookmarkEnd w:id="8"/>
      <w:bookmarkEnd w:id="9"/>
    </w:p>
    <w:tbl>
      <w:tblPr>
        <w:tblStyle w:val="58"/>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544"/>
        <w:gridCol w:w="1812"/>
        <w:gridCol w:w="2257"/>
      </w:tblGrid>
      <w:tr w14:paraId="69FFB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3288" w:type="dxa"/>
            <w:tcBorders>
              <w:top w:val="single" w:color="auto" w:sz="4" w:space="0"/>
              <w:left w:val="single" w:color="auto" w:sz="4" w:space="0"/>
              <w:right w:val="single" w:color="auto" w:sz="4" w:space="0"/>
            </w:tcBorders>
            <w:noWrap w:val="0"/>
            <w:vAlign w:val="center"/>
          </w:tcPr>
          <w:p w14:paraId="6A7E2917">
            <w:pPr>
              <w:widowControl/>
              <w:jc w:val="center"/>
              <w:rPr>
                <w:rFonts w:hint="eastAsia" w:ascii="方正仿宋_GBK" w:hAnsi="宋体" w:eastAsia="方正仿宋_GBK" w:cs="宋体"/>
                <w:b/>
                <w:bCs/>
                <w:color w:val="auto"/>
                <w:kern w:val="0"/>
                <w:sz w:val="24"/>
                <w:szCs w:val="24"/>
                <w:highlight w:val="none"/>
              </w:rPr>
            </w:pPr>
            <w:r>
              <w:rPr>
                <w:rFonts w:hint="eastAsia" w:ascii="方正仿宋_GBK" w:hAnsi="宋体" w:eastAsia="方正仿宋_GBK" w:cs="宋体"/>
                <w:b/>
                <w:bCs/>
                <w:color w:val="auto"/>
                <w:kern w:val="0"/>
                <w:sz w:val="24"/>
                <w:szCs w:val="24"/>
                <w:highlight w:val="none"/>
                <w:lang w:val="en-US" w:eastAsia="zh-CN"/>
              </w:rPr>
              <w:t>项目名称</w:t>
            </w:r>
          </w:p>
        </w:tc>
        <w:tc>
          <w:tcPr>
            <w:tcW w:w="1544" w:type="dxa"/>
            <w:tcBorders>
              <w:top w:val="single" w:color="auto" w:sz="4" w:space="0"/>
              <w:left w:val="single" w:color="auto" w:sz="4" w:space="0"/>
              <w:right w:val="single" w:color="auto" w:sz="4" w:space="0"/>
            </w:tcBorders>
            <w:noWrap w:val="0"/>
            <w:vAlign w:val="center"/>
          </w:tcPr>
          <w:p w14:paraId="01AA6EF2">
            <w:pPr>
              <w:jc w:val="center"/>
              <w:rPr>
                <w:rFonts w:hint="eastAsia" w:ascii="方正仿宋_GBK" w:hAnsi="宋体" w:eastAsia="方正仿宋_GBK" w:cs="宋体"/>
                <w:b/>
                <w:bCs/>
                <w:color w:val="auto"/>
                <w:kern w:val="0"/>
                <w:sz w:val="24"/>
                <w:szCs w:val="24"/>
                <w:highlight w:val="none"/>
              </w:rPr>
            </w:pPr>
            <w:r>
              <w:rPr>
                <w:rFonts w:hint="eastAsia" w:ascii="方正仿宋_GBK" w:hAnsi="宋体" w:eastAsia="方正仿宋_GBK" w:cs="宋体"/>
                <w:b/>
                <w:bCs/>
                <w:color w:val="auto"/>
                <w:kern w:val="0"/>
                <w:sz w:val="24"/>
                <w:szCs w:val="24"/>
                <w:highlight w:val="none"/>
              </w:rPr>
              <w:t>最高限价（元）</w:t>
            </w:r>
          </w:p>
        </w:tc>
        <w:tc>
          <w:tcPr>
            <w:tcW w:w="1812" w:type="dxa"/>
            <w:tcBorders>
              <w:top w:val="single" w:color="auto" w:sz="4" w:space="0"/>
              <w:left w:val="single" w:color="auto" w:sz="4" w:space="0"/>
              <w:right w:val="single" w:color="auto" w:sz="4" w:space="0"/>
            </w:tcBorders>
            <w:noWrap w:val="0"/>
            <w:vAlign w:val="center"/>
          </w:tcPr>
          <w:p w14:paraId="779888E9">
            <w:pPr>
              <w:jc w:val="center"/>
              <w:rPr>
                <w:rFonts w:hint="eastAsia" w:ascii="方正仿宋_GBK" w:hAnsi="宋体" w:eastAsia="方正仿宋_GBK" w:cs="宋体"/>
                <w:b/>
                <w:bCs/>
                <w:color w:val="auto"/>
                <w:kern w:val="0"/>
                <w:sz w:val="24"/>
                <w:szCs w:val="24"/>
                <w:highlight w:val="none"/>
                <w:lang w:val="en-US" w:eastAsia="zh-CN"/>
              </w:rPr>
            </w:pPr>
            <w:r>
              <w:rPr>
                <w:rFonts w:hint="eastAsia" w:ascii="方正仿宋_GBK" w:hAnsi="宋体" w:eastAsia="方正仿宋_GBK" w:cs="宋体"/>
                <w:b/>
                <w:bCs/>
                <w:color w:val="auto"/>
                <w:kern w:val="0"/>
                <w:sz w:val="24"/>
                <w:szCs w:val="24"/>
                <w:highlight w:val="none"/>
                <w:lang w:val="en-US" w:eastAsia="zh-CN"/>
              </w:rPr>
              <w:t>磋商保证金（元）</w:t>
            </w:r>
          </w:p>
        </w:tc>
        <w:tc>
          <w:tcPr>
            <w:tcW w:w="2257" w:type="dxa"/>
            <w:tcBorders>
              <w:top w:val="single" w:color="auto" w:sz="4" w:space="0"/>
              <w:left w:val="single" w:color="auto" w:sz="4" w:space="0"/>
              <w:right w:val="single" w:color="auto" w:sz="4" w:space="0"/>
            </w:tcBorders>
            <w:noWrap w:val="0"/>
            <w:vAlign w:val="center"/>
          </w:tcPr>
          <w:p w14:paraId="1CE9C3B9">
            <w:pPr>
              <w:jc w:val="center"/>
              <w:rPr>
                <w:rFonts w:hint="eastAsia" w:ascii="方正仿宋_GBK" w:hAnsi="宋体" w:eastAsia="方正仿宋_GBK" w:cs="宋体"/>
                <w:b/>
                <w:bCs/>
                <w:color w:val="auto"/>
                <w:kern w:val="0"/>
                <w:sz w:val="24"/>
                <w:szCs w:val="24"/>
                <w:highlight w:val="none"/>
              </w:rPr>
            </w:pPr>
            <w:r>
              <w:rPr>
                <w:rFonts w:hint="eastAsia" w:ascii="方正仿宋_GBK" w:hAnsi="宋体" w:eastAsia="方正仿宋_GBK" w:cs="宋体"/>
                <w:b/>
                <w:bCs/>
                <w:color w:val="auto"/>
                <w:kern w:val="0"/>
                <w:sz w:val="24"/>
                <w:szCs w:val="24"/>
                <w:highlight w:val="none"/>
              </w:rPr>
              <w:t>成交供应商数量（名）</w:t>
            </w:r>
          </w:p>
        </w:tc>
      </w:tr>
      <w:tr w14:paraId="0F23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288" w:type="dxa"/>
            <w:tcBorders>
              <w:top w:val="single" w:color="auto" w:sz="4" w:space="0"/>
              <w:left w:val="single" w:color="auto" w:sz="4" w:space="0"/>
              <w:bottom w:val="single" w:color="auto" w:sz="4" w:space="0"/>
              <w:right w:val="single" w:color="auto" w:sz="4" w:space="0"/>
            </w:tcBorders>
            <w:noWrap w:val="0"/>
            <w:vAlign w:val="center"/>
          </w:tcPr>
          <w:p w14:paraId="3DA4B06A">
            <w:pPr>
              <w:widowControl/>
              <w:jc w:val="both"/>
              <w:rPr>
                <w:rFonts w:hint="default" w:ascii="方正仿宋_GBK" w:hAnsi="宋体" w:eastAsia="方正仿宋_GBK" w:cs="宋体"/>
                <w:color w:val="auto"/>
                <w:kern w:val="0"/>
                <w:sz w:val="24"/>
                <w:szCs w:val="24"/>
                <w:highlight w:val="none"/>
                <w:lang w:val="en-US" w:eastAsia="zh-CN"/>
              </w:rPr>
            </w:pPr>
            <w:bookmarkStart w:id="10" w:name="_Hlk344477914"/>
            <w:r>
              <w:rPr>
                <w:rFonts w:hint="eastAsia" w:ascii="方正仿宋_GBK" w:hAnsi="宋体" w:eastAsia="方正仿宋_GBK" w:cs="Times New Roman"/>
                <w:color w:val="auto"/>
                <w:sz w:val="24"/>
                <w:szCs w:val="24"/>
                <w:highlight w:val="none"/>
                <w:lang w:eastAsia="zh-CN"/>
              </w:rPr>
              <w:t>重庆市职工文体“双促”数字场景技术服务项目（第二次）</w:t>
            </w:r>
          </w:p>
        </w:tc>
        <w:tc>
          <w:tcPr>
            <w:tcW w:w="1544" w:type="dxa"/>
            <w:tcBorders>
              <w:top w:val="single" w:color="auto" w:sz="4" w:space="0"/>
              <w:left w:val="single" w:color="auto" w:sz="4" w:space="0"/>
              <w:bottom w:val="single" w:color="auto" w:sz="4" w:space="0"/>
              <w:right w:val="single" w:color="auto" w:sz="4" w:space="0"/>
            </w:tcBorders>
            <w:noWrap w:val="0"/>
            <w:vAlign w:val="center"/>
          </w:tcPr>
          <w:p w14:paraId="0F87CCE5">
            <w:pPr>
              <w:widowControl/>
              <w:jc w:val="center"/>
              <w:rPr>
                <w:rFonts w:hint="default" w:ascii="方正仿宋_GBK" w:hAnsi="宋体" w:eastAsia="方正仿宋_GBK" w:cs="宋体"/>
                <w:color w:val="auto"/>
                <w:kern w:val="0"/>
                <w:sz w:val="24"/>
                <w:szCs w:val="24"/>
                <w:highlight w:val="none"/>
                <w:lang w:val="en-US" w:eastAsia="zh-CN"/>
              </w:rPr>
            </w:pPr>
            <w:r>
              <w:rPr>
                <w:rFonts w:hint="default" w:ascii="方正仿宋_GBK" w:hAnsi="宋体" w:eastAsia="方正仿宋_GBK" w:cs="宋体"/>
                <w:color w:val="auto"/>
                <w:kern w:val="0"/>
                <w:sz w:val="24"/>
                <w:szCs w:val="24"/>
                <w:highlight w:val="none"/>
                <w:lang w:val="en-US" w:eastAsia="zh-CN"/>
              </w:rPr>
              <w:t>1956</w:t>
            </w:r>
            <w:r>
              <w:rPr>
                <w:rFonts w:hint="eastAsia" w:ascii="方正仿宋_GBK" w:hAnsi="宋体" w:eastAsia="方正仿宋_GBK" w:cs="宋体"/>
                <w:color w:val="auto"/>
                <w:kern w:val="0"/>
                <w:sz w:val="24"/>
                <w:szCs w:val="24"/>
                <w:highlight w:val="none"/>
                <w:lang w:val="en-US" w:eastAsia="zh-CN"/>
              </w:rPr>
              <w:t>00</w:t>
            </w:r>
          </w:p>
        </w:tc>
        <w:tc>
          <w:tcPr>
            <w:tcW w:w="1812" w:type="dxa"/>
            <w:tcBorders>
              <w:top w:val="single" w:color="auto" w:sz="4" w:space="0"/>
              <w:left w:val="single" w:color="auto" w:sz="4" w:space="0"/>
              <w:bottom w:val="single" w:color="auto" w:sz="4" w:space="0"/>
              <w:right w:val="single" w:color="auto" w:sz="4" w:space="0"/>
            </w:tcBorders>
            <w:noWrap w:val="0"/>
            <w:vAlign w:val="center"/>
          </w:tcPr>
          <w:p w14:paraId="0C3721A3">
            <w:pPr>
              <w:widowControl/>
              <w:jc w:val="center"/>
              <w:rPr>
                <w:rFonts w:hint="default" w:ascii="方正仿宋_GBK" w:hAnsi="宋体" w:eastAsia="方正仿宋_GBK" w:cs="宋体"/>
                <w:color w:val="auto"/>
                <w:kern w:val="0"/>
                <w:sz w:val="24"/>
                <w:szCs w:val="24"/>
                <w:highlight w:val="none"/>
                <w:lang w:val="en-US" w:eastAsia="zh-CN"/>
              </w:rPr>
            </w:pPr>
            <w:r>
              <w:rPr>
                <w:rFonts w:hint="eastAsia" w:ascii="方正仿宋_GBK" w:hAnsi="宋体" w:eastAsia="方正仿宋_GBK" w:cs="宋体"/>
                <w:color w:val="auto"/>
                <w:kern w:val="0"/>
                <w:sz w:val="24"/>
                <w:szCs w:val="24"/>
                <w:highlight w:val="none"/>
                <w:lang w:val="en-US" w:eastAsia="zh-CN"/>
              </w:rPr>
              <w:t>无</w:t>
            </w:r>
          </w:p>
        </w:tc>
        <w:tc>
          <w:tcPr>
            <w:tcW w:w="2257" w:type="dxa"/>
            <w:tcBorders>
              <w:top w:val="single" w:color="auto" w:sz="4" w:space="0"/>
              <w:left w:val="single" w:color="auto" w:sz="4" w:space="0"/>
              <w:bottom w:val="single" w:color="auto" w:sz="4" w:space="0"/>
              <w:right w:val="single" w:color="auto" w:sz="4" w:space="0"/>
            </w:tcBorders>
            <w:noWrap w:val="0"/>
            <w:vAlign w:val="center"/>
          </w:tcPr>
          <w:p w14:paraId="2F8D2CA6">
            <w:pPr>
              <w:widowControl/>
              <w:jc w:val="center"/>
              <w:rPr>
                <w:rFonts w:hint="default" w:ascii="方正仿宋_GBK" w:hAnsi="宋体" w:eastAsia="方正仿宋_GBK" w:cs="宋体"/>
                <w:color w:val="auto"/>
                <w:kern w:val="0"/>
                <w:sz w:val="24"/>
                <w:szCs w:val="24"/>
                <w:highlight w:val="none"/>
                <w:lang w:val="en-US" w:eastAsia="zh-CN"/>
              </w:rPr>
            </w:pPr>
            <w:r>
              <w:rPr>
                <w:rFonts w:hint="eastAsia" w:ascii="方正仿宋_GBK" w:hAnsi="宋体" w:eastAsia="方正仿宋_GBK" w:cs="宋体"/>
                <w:color w:val="auto"/>
                <w:kern w:val="0"/>
                <w:sz w:val="24"/>
                <w:szCs w:val="24"/>
                <w:highlight w:val="none"/>
                <w:lang w:val="en-US" w:eastAsia="zh-CN"/>
              </w:rPr>
              <w:t>1</w:t>
            </w:r>
          </w:p>
        </w:tc>
      </w:tr>
      <w:bookmarkEnd w:id="10"/>
    </w:tbl>
    <w:p w14:paraId="7FBB0D70">
      <w:pPr>
        <w:pStyle w:val="3"/>
        <w:adjustRightInd w:val="0"/>
        <w:snapToGrid w:val="0"/>
        <w:spacing w:before="0" w:after="0" w:line="400" w:lineRule="exact"/>
        <w:ind w:firstLine="482" w:firstLineChars="200"/>
        <w:rPr>
          <w:rFonts w:hint="eastAsia" w:ascii="方正仿宋_GBK" w:hAnsi="宋体" w:eastAsia="方正仿宋_GBK"/>
          <w:color w:val="auto"/>
          <w:sz w:val="24"/>
          <w:szCs w:val="24"/>
          <w:highlight w:val="none"/>
        </w:rPr>
      </w:pPr>
      <w:bookmarkStart w:id="11" w:name="_Toc106030872"/>
      <w:bookmarkStart w:id="12" w:name="_Toc19403"/>
      <w:bookmarkStart w:id="13" w:name="_Toc76462318"/>
      <w:bookmarkStart w:id="14" w:name="_Toc373860293"/>
      <w:bookmarkStart w:id="15" w:name="_Toc317775178"/>
      <w:r>
        <w:rPr>
          <w:rFonts w:hint="eastAsia" w:ascii="方正仿宋_GBK" w:hAnsi="宋体" w:eastAsia="方正仿宋_GBK"/>
          <w:color w:val="auto"/>
          <w:sz w:val="24"/>
          <w:szCs w:val="24"/>
          <w:highlight w:val="none"/>
        </w:rPr>
        <w:t>二、资金来源</w:t>
      </w:r>
      <w:bookmarkEnd w:id="11"/>
      <w:bookmarkEnd w:id="12"/>
      <w:bookmarkEnd w:id="13"/>
    </w:p>
    <w:p w14:paraId="6939C1AB">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仿宋" w:eastAsia="方正仿宋_GBK"/>
          <w:color w:val="auto"/>
          <w:sz w:val="24"/>
          <w:szCs w:val="24"/>
          <w:highlight w:val="none"/>
          <w:lang w:eastAsia="zh-CN"/>
        </w:rPr>
        <w:t>市总工会资金</w:t>
      </w:r>
      <w:r>
        <w:rPr>
          <w:rFonts w:hint="eastAsia" w:ascii="方正仿宋_GBK" w:hAnsi="宋体" w:eastAsia="方正仿宋_GBK"/>
          <w:color w:val="auto"/>
          <w:sz w:val="24"/>
          <w:szCs w:val="24"/>
          <w:highlight w:val="none"/>
        </w:rPr>
        <w:t>。</w:t>
      </w:r>
    </w:p>
    <w:p w14:paraId="5A0C50C7">
      <w:pPr>
        <w:pStyle w:val="3"/>
        <w:adjustRightInd w:val="0"/>
        <w:snapToGrid w:val="0"/>
        <w:spacing w:before="0" w:after="0" w:line="400" w:lineRule="exact"/>
        <w:ind w:firstLine="482" w:firstLineChars="200"/>
        <w:rPr>
          <w:rFonts w:hint="eastAsia" w:ascii="方正仿宋_GBK" w:hAnsi="宋体" w:eastAsia="方正仿宋_GBK"/>
          <w:color w:val="auto"/>
          <w:sz w:val="24"/>
          <w:szCs w:val="24"/>
          <w:highlight w:val="none"/>
        </w:rPr>
      </w:pPr>
      <w:bookmarkStart w:id="16" w:name="_Toc17303"/>
      <w:bookmarkStart w:id="17" w:name="_Toc76462319"/>
      <w:bookmarkStart w:id="18" w:name="_Toc106030873"/>
      <w:r>
        <w:rPr>
          <w:rFonts w:hint="eastAsia" w:ascii="方正仿宋_GBK" w:hAnsi="宋体" w:eastAsia="方正仿宋_GBK"/>
          <w:color w:val="auto"/>
          <w:sz w:val="24"/>
          <w:szCs w:val="24"/>
          <w:highlight w:val="none"/>
        </w:rPr>
        <w:t>三、供应商资格条件</w:t>
      </w:r>
      <w:bookmarkEnd w:id="16"/>
      <w:bookmarkEnd w:id="17"/>
      <w:bookmarkEnd w:id="18"/>
    </w:p>
    <w:p w14:paraId="642E07FD">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rPr>
        <w:t>（一）满足《中华人民共和国政府采购法》第二十二条规定</w:t>
      </w:r>
      <w:r>
        <w:rPr>
          <w:rFonts w:hint="eastAsia" w:ascii="方正仿宋_GBK" w:hAnsi="宋体" w:eastAsia="方正仿宋_GBK"/>
          <w:color w:val="auto"/>
          <w:sz w:val="24"/>
          <w:szCs w:val="24"/>
          <w:highlight w:val="none"/>
          <w:lang w:eastAsia="zh-CN"/>
        </w:rPr>
        <w:t>。</w:t>
      </w:r>
    </w:p>
    <w:p w14:paraId="0282E0A1">
      <w:pPr>
        <w:spacing w:line="400" w:lineRule="exact"/>
        <w:ind w:firstLine="480" w:firstLineChars="200"/>
        <w:rPr>
          <w:rFonts w:hint="eastAsia" w:ascii="方正仿宋_GBK" w:hAnsi="宋体" w:eastAsia="方正仿宋_GBK" w:cs="Times New Roman"/>
          <w:color w:val="auto"/>
          <w:sz w:val="24"/>
          <w:szCs w:val="24"/>
          <w:highlight w:val="none"/>
          <w:lang w:eastAsia="zh-CN"/>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eastAsia="zh-CN"/>
        </w:rPr>
        <w:t>二</w:t>
      </w:r>
      <w:r>
        <w:rPr>
          <w:rFonts w:hint="eastAsia" w:ascii="方正仿宋_GBK" w:hAnsi="宋体" w:eastAsia="方正仿宋_GBK"/>
          <w:color w:val="auto"/>
          <w:sz w:val="24"/>
          <w:szCs w:val="24"/>
          <w:highlight w:val="none"/>
        </w:rPr>
        <w:t>）本项目的特定资格要求：</w:t>
      </w:r>
      <w:r>
        <w:rPr>
          <w:rFonts w:hint="eastAsia" w:ascii="方正仿宋_GBK" w:hAnsi="宋体" w:eastAsia="方正仿宋_GBK"/>
          <w:color w:val="auto"/>
          <w:sz w:val="24"/>
          <w:szCs w:val="24"/>
          <w:highlight w:val="none"/>
          <w:lang w:eastAsia="zh-CN"/>
        </w:rPr>
        <w:t>无</w:t>
      </w:r>
      <w:r>
        <w:rPr>
          <w:rFonts w:hint="eastAsia" w:ascii="方正仿宋_GBK" w:hAnsi="宋体" w:eastAsia="方正仿宋_GBK" w:cs="Times New Roman"/>
          <w:color w:val="auto"/>
          <w:sz w:val="24"/>
          <w:szCs w:val="24"/>
          <w:highlight w:val="none"/>
        </w:rPr>
        <w:t>。</w:t>
      </w:r>
    </w:p>
    <w:p w14:paraId="0CADAC25">
      <w:pPr>
        <w:pStyle w:val="3"/>
        <w:adjustRightInd w:val="0"/>
        <w:snapToGrid w:val="0"/>
        <w:spacing w:before="0" w:after="0" w:line="400" w:lineRule="exact"/>
        <w:ind w:firstLine="482" w:firstLineChars="200"/>
        <w:rPr>
          <w:rFonts w:hint="eastAsia" w:ascii="方正仿宋_GBK" w:hAnsi="宋体" w:eastAsia="方正仿宋_GBK"/>
          <w:color w:val="auto"/>
          <w:sz w:val="24"/>
          <w:szCs w:val="24"/>
          <w:highlight w:val="none"/>
        </w:rPr>
      </w:pPr>
      <w:bookmarkStart w:id="19" w:name="_Toc106030874"/>
      <w:bookmarkStart w:id="20" w:name="_Toc5445"/>
      <w:bookmarkStart w:id="21" w:name="_Toc76462320"/>
      <w:r>
        <w:rPr>
          <w:rFonts w:hint="eastAsia" w:ascii="方正仿宋_GBK" w:hAnsi="宋体" w:eastAsia="方正仿宋_GBK"/>
          <w:color w:val="auto"/>
          <w:sz w:val="24"/>
          <w:szCs w:val="24"/>
          <w:highlight w:val="none"/>
        </w:rPr>
        <w:t>四、磋商有关说明</w:t>
      </w:r>
      <w:bookmarkEnd w:id="14"/>
      <w:bookmarkEnd w:id="19"/>
      <w:bookmarkEnd w:id="20"/>
      <w:bookmarkEnd w:id="21"/>
    </w:p>
    <w:p w14:paraId="07A456E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eastAsia="zh-CN"/>
        </w:rPr>
        <w:t>一）</w:t>
      </w:r>
      <w:r>
        <w:rPr>
          <w:rFonts w:hint="eastAsia" w:ascii="方正仿宋_GBK" w:hAnsi="宋体" w:eastAsia="方正仿宋_GBK"/>
          <w:color w:val="auto"/>
          <w:sz w:val="24"/>
          <w:szCs w:val="24"/>
          <w:highlight w:val="none"/>
        </w:rPr>
        <w:t>供应商应通过</w:t>
      </w:r>
      <w:r>
        <w:rPr>
          <w:rFonts w:hint="eastAsia" w:ascii="方正仿宋_GBK" w:hAnsi="宋体" w:eastAsia="方正仿宋_GBK"/>
          <w:color w:val="auto"/>
          <w:sz w:val="24"/>
          <w:szCs w:val="24"/>
          <w:highlight w:val="none"/>
          <w:lang w:eastAsia="zh-CN"/>
        </w:rPr>
        <w:t>“行采家(https://www.gec123.com/)，注册供应商。</w:t>
      </w:r>
    </w:p>
    <w:p w14:paraId="4D29BD2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（二）凡有意参加磋商的供应商，请在</w:t>
      </w:r>
      <w:r>
        <w:rPr>
          <w:rFonts w:hint="eastAsia" w:ascii="方正仿宋_GBK" w:hAnsi="宋体" w:eastAsia="方正仿宋_GBK"/>
          <w:color w:val="auto"/>
          <w:sz w:val="24"/>
          <w:szCs w:val="24"/>
          <w:highlight w:val="none"/>
          <w:lang w:eastAsia="zh-CN"/>
        </w:rPr>
        <w:t>“行采家(https://www.gec123.com/)、重庆市总工会（https://www.cqgh.org/）”</w:t>
      </w:r>
      <w:r>
        <w:rPr>
          <w:rFonts w:hint="eastAsia" w:ascii="方正仿宋_GBK" w:hAnsi="宋体" w:eastAsia="方正仿宋_GBK"/>
          <w:color w:val="auto"/>
          <w:sz w:val="24"/>
          <w:szCs w:val="24"/>
          <w:highlight w:val="none"/>
        </w:rPr>
        <w:t>上下载本项目竞争性磋商文件以及图纸、澄清等磋商前公布的所有项目资料，无论供应商下载与否，均视为已知晓所有磋商实质性要求内容。</w:t>
      </w:r>
    </w:p>
    <w:p w14:paraId="4E95D0AC">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（三）竞争性磋商公告期限：自采购公告发布之日起</w:t>
      </w:r>
      <w:r>
        <w:rPr>
          <w:rFonts w:hint="eastAsia" w:ascii="方正仿宋_GBK" w:hAnsi="宋体" w:eastAsia="方正仿宋_GBK"/>
          <w:color w:val="auto"/>
          <w:sz w:val="24"/>
          <w:szCs w:val="24"/>
          <w:highlight w:val="none"/>
          <w:lang w:val="en-US" w:eastAsia="zh-CN"/>
        </w:rPr>
        <w:t>五</w:t>
      </w:r>
      <w:r>
        <w:rPr>
          <w:rFonts w:hint="eastAsia" w:ascii="方正仿宋_GBK" w:hAnsi="宋体" w:eastAsia="方正仿宋_GBK"/>
          <w:color w:val="auto"/>
          <w:sz w:val="24"/>
          <w:szCs w:val="24"/>
          <w:highlight w:val="none"/>
        </w:rPr>
        <w:t>个工作日。</w:t>
      </w:r>
    </w:p>
    <w:p w14:paraId="792A3CD6">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w:t>
      </w:r>
      <w:r>
        <w:rPr>
          <w:rFonts w:hint="eastAsia" w:ascii="方正仿宋_GBK" w:hAnsi="宋体" w:eastAsia="方正仿宋_GBK"/>
          <w:color w:val="auto"/>
          <w:sz w:val="24"/>
          <w:szCs w:val="24"/>
          <w:highlight w:val="none"/>
          <w:lang w:val="en-US" w:eastAsia="zh-CN"/>
        </w:rPr>
        <w:t>获取</w:t>
      </w:r>
      <w:r>
        <w:rPr>
          <w:rFonts w:hint="eastAsia" w:ascii="方正仿宋_GBK" w:hAnsi="宋体" w:eastAsia="方正仿宋_GBK"/>
          <w:color w:val="auto"/>
          <w:sz w:val="24"/>
          <w:szCs w:val="24"/>
          <w:highlight w:val="none"/>
        </w:rPr>
        <w:t xml:space="preserve">竞争性磋商文件期限： </w:t>
      </w:r>
    </w:p>
    <w:p w14:paraId="20EE5307">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1.竞争性磋商文件</w:t>
      </w:r>
      <w:r>
        <w:rPr>
          <w:rFonts w:hint="eastAsia" w:ascii="方正仿宋_GBK" w:hAnsi="宋体" w:eastAsia="方正仿宋_GBK"/>
          <w:color w:val="auto"/>
          <w:sz w:val="24"/>
          <w:szCs w:val="24"/>
          <w:highlight w:val="none"/>
          <w:lang w:val="en-US" w:eastAsia="zh-CN"/>
        </w:rPr>
        <w:t>提供期限</w:t>
      </w:r>
      <w:r>
        <w:rPr>
          <w:rFonts w:hint="eastAsia" w:ascii="方正仿宋_GBK" w:hAnsi="宋体" w:eastAsia="方正仿宋_GBK"/>
          <w:color w:val="auto"/>
          <w:sz w:val="24"/>
          <w:szCs w:val="24"/>
          <w:highlight w:val="none"/>
        </w:rPr>
        <w:t>：202</w:t>
      </w:r>
      <w:r>
        <w:rPr>
          <w:rFonts w:hint="eastAsia" w:ascii="方正仿宋_GBK" w:hAnsi="宋体" w:eastAsia="方正仿宋_GBK"/>
          <w:color w:val="auto"/>
          <w:sz w:val="24"/>
          <w:szCs w:val="24"/>
          <w:highlight w:val="none"/>
          <w:lang w:val="en-US" w:eastAsia="zh-CN"/>
        </w:rPr>
        <w:t>6</w:t>
      </w:r>
      <w:r>
        <w:rPr>
          <w:rFonts w:hint="eastAsia" w:ascii="方正仿宋_GBK" w:hAnsi="宋体" w:eastAsia="方正仿宋_GBK"/>
          <w:color w:val="auto"/>
          <w:sz w:val="24"/>
          <w:szCs w:val="24"/>
          <w:highlight w:val="none"/>
        </w:rPr>
        <w:t>年</w:t>
      </w: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月</w:t>
      </w:r>
      <w:r>
        <w:rPr>
          <w:rFonts w:hint="eastAsia" w:ascii="方正仿宋_GBK" w:hAnsi="宋体" w:eastAsia="方正仿宋_GBK"/>
          <w:color w:val="auto"/>
          <w:sz w:val="24"/>
          <w:szCs w:val="24"/>
          <w:highlight w:val="none"/>
          <w:lang w:val="en-US" w:eastAsia="zh-CN"/>
        </w:rPr>
        <w:t>12</w:t>
      </w:r>
      <w:r>
        <w:rPr>
          <w:rFonts w:hint="eastAsia" w:ascii="方正仿宋_GBK" w:hAnsi="宋体" w:eastAsia="方正仿宋_GBK"/>
          <w:color w:val="auto"/>
          <w:sz w:val="24"/>
          <w:szCs w:val="24"/>
          <w:highlight w:val="none"/>
        </w:rPr>
        <w:t>日至202</w:t>
      </w:r>
      <w:r>
        <w:rPr>
          <w:rFonts w:hint="eastAsia" w:ascii="方正仿宋_GBK" w:hAnsi="宋体" w:eastAsia="方正仿宋_GBK"/>
          <w:color w:val="auto"/>
          <w:sz w:val="24"/>
          <w:szCs w:val="24"/>
          <w:highlight w:val="none"/>
          <w:lang w:val="en-US" w:eastAsia="zh-CN"/>
        </w:rPr>
        <w:t>6</w:t>
      </w:r>
      <w:r>
        <w:rPr>
          <w:rFonts w:hint="eastAsia" w:ascii="方正仿宋_GBK" w:hAnsi="宋体" w:eastAsia="方正仿宋_GBK"/>
          <w:color w:val="auto"/>
          <w:sz w:val="24"/>
          <w:szCs w:val="24"/>
          <w:highlight w:val="none"/>
        </w:rPr>
        <w:t>年</w:t>
      </w: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月</w:t>
      </w:r>
      <w:r>
        <w:rPr>
          <w:rFonts w:hint="eastAsia" w:ascii="方正仿宋_GBK" w:hAnsi="宋体" w:eastAsia="方正仿宋_GBK"/>
          <w:color w:val="auto"/>
          <w:sz w:val="24"/>
          <w:szCs w:val="24"/>
          <w:highlight w:val="none"/>
          <w:lang w:val="en-US" w:eastAsia="zh-CN"/>
        </w:rPr>
        <w:t>19</w:t>
      </w:r>
      <w:r>
        <w:rPr>
          <w:rFonts w:hint="eastAsia" w:ascii="方正仿宋_GBK" w:hAnsi="宋体" w:eastAsia="方正仿宋_GBK"/>
          <w:color w:val="auto"/>
          <w:sz w:val="24"/>
          <w:szCs w:val="24"/>
          <w:highlight w:val="none"/>
        </w:rPr>
        <w:t>日。</w:t>
      </w:r>
    </w:p>
    <w:p w14:paraId="6845238F">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rPr>
        <w:t>2.报名方式：在报名及磋商文件发售期内</w:t>
      </w:r>
      <w:r>
        <w:rPr>
          <w:rFonts w:hint="eastAsia" w:ascii="方正仿宋_GBK" w:hAnsi="宋体" w:eastAsia="方正仿宋_GBK"/>
          <w:color w:val="auto"/>
          <w:sz w:val="24"/>
          <w:szCs w:val="24"/>
          <w:highlight w:val="none"/>
          <w:lang w:eastAsia="zh-CN"/>
        </w:rPr>
        <w:t>，</w:t>
      </w:r>
      <w:r>
        <w:rPr>
          <w:rFonts w:hint="eastAsia" w:ascii="方正仿宋_GBK" w:hAnsi="宋体" w:eastAsia="方正仿宋_GBK"/>
          <w:color w:val="auto"/>
          <w:sz w:val="24"/>
          <w:szCs w:val="24"/>
          <w:highlight w:val="none"/>
        </w:rPr>
        <w:t>将报名资料《</w:t>
      </w:r>
      <w:r>
        <w:rPr>
          <w:rFonts w:hint="eastAsia" w:ascii="方正仿宋_GBK" w:hAnsi="宋体" w:eastAsia="方正仿宋_GBK"/>
          <w:color w:val="auto"/>
          <w:sz w:val="24"/>
          <w:szCs w:val="24"/>
          <w:highlight w:val="none"/>
          <w:lang w:val="en-US" w:eastAsia="zh-CN"/>
        </w:rPr>
        <w:t>报名登记表</w:t>
      </w:r>
      <w:r>
        <w:rPr>
          <w:rFonts w:hint="eastAsia" w:ascii="方正仿宋_GBK" w:hAnsi="宋体" w:eastAsia="方正仿宋_GBK"/>
          <w:color w:val="auto"/>
          <w:sz w:val="24"/>
          <w:szCs w:val="24"/>
          <w:highlight w:val="none"/>
        </w:rPr>
        <w:t>》加盖单位公章扫描后，以QQ邮箱方式发送至</w:t>
      </w:r>
      <w:r>
        <w:rPr>
          <w:rFonts w:hint="eastAsia" w:ascii="方正仿宋_GBK" w:hAnsi="宋体" w:eastAsia="方正仿宋_GBK"/>
          <w:color w:val="auto"/>
          <w:sz w:val="24"/>
          <w:szCs w:val="24"/>
          <w:highlight w:val="none"/>
          <w:lang w:val="en-US" w:eastAsia="zh-CN"/>
        </w:rPr>
        <w:t>3782292406@qq.com</w:t>
      </w:r>
      <w:r>
        <w:rPr>
          <w:rFonts w:hint="eastAsia" w:ascii="方正仿宋_GBK" w:hAnsi="宋体" w:eastAsia="方正仿宋_GBK"/>
          <w:color w:val="auto"/>
          <w:sz w:val="24"/>
          <w:szCs w:val="24"/>
          <w:highlight w:val="none"/>
        </w:rPr>
        <w:t>，发送后请电话联系招标代理机构工作人员缴纳磋商文件购买费</w:t>
      </w:r>
      <w:r>
        <w:rPr>
          <w:rFonts w:hint="eastAsia" w:ascii="方正仿宋_GBK" w:hAnsi="宋体" w:eastAsia="方正仿宋_GBK"/>
          <w:color w:val="auto"/>
          <w:sz w:val="24"/>
          <w:szCs w:val="24"/>
          <w:highlight w:val="none"/>
          <w:lang w:val="en-US" w:eastAsia="zh-CN"/>
        </w:rPr>
        <w:t>。</w:t>
      </w:r>
    </w:p>
    <w:p w14:paraId="16139C0D">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w:t>
      </w:r>
      <w:r>
        <w:rPr>
          <w:rFonts w:hint="eastAsia" w:ascii="方正仿宋_GBK" w:hAnsi="宋体" w:eastAsia="方正仿宋_GBK"/>
          <w:color w:val="auto"/>
          <w:sz w:val="24"/>
          <w:szCs w:val="24"/>
          <w:highlight w:val="none"/>
          <w:lang w:eastAsia="zh-CN"/>
        </w:rPr>
        <w:t>（</w:t>
      </w:r>
      <w:r>
        <w:rPr>
          <w:rFonts w:hint="eastAsia" w:ascii="方正仿宋_GBK" w:hAnsi="宋体" w:eastAsia="方正仿宋_GBK"/>
          <w:color w:val="auto"/>
          <w:sz w:val="24"/>
          <w:szCs w:val="24"/>
          <w:highlight w:val="none"/>
          <w:lang w:val="en-US" w:eastAsia="zh-CN"/>
        </w:rPr>
        <w:t>1</w:t>
      </w:r>
      <w:r>
        <w:rPr>
          <w:rFonts w:hint="eastAsia" w:ascii="方正仿宋_GBK" w:hAnsi="宋体" w:eastAsia="方正仿宋_GBK"/>
          <w:color w:val="auto"/>
          <w:sz w:val="24"/>
          <w:szCs w:val="24"/>
          <w:highlight w:val="none"/>
          <w:lang w:eastAsia="zh-CN"/>
        </w:rPr>
        <w:t>）</w:t>
      </w:r>
      <w:r>
        <w:rPr>
          <w:rFonts w:hint="eastAsia" w:ascii="方正仿宋_GBK" w:hAnsi="宋体" w:eastAsia="方正仿宋_GBK"/>
          <w:color w:val="auto"/>
          <w:sz w:val="24"/>
          <w:szCs w:val="24"/>
          <w:highlight w:val="none"/>
        </w:rPr>
        <w:t>竞争性磋商文件售价：人民币</w:t>
      </w:r>
      <w:r>
        <w:rPr>
          <w:rFonts w:hint="eastAsia" w:ascii="方正仿宋_GBK" w:hAnsi="宋体" w:eastAsia="方正仿宋_GBK"/>
          <w:color w:val="auto"/>
          <w:sz w:val="24"/>
          <w:szCs w:val="24"/>
          <w:highlight w:val="none"/>
          <w:lang w:val="en-US" w:eastAsia="zh-CN"/>
        </w:rPr>
        <w:t>500</w:t>
      </w:r>
      <w:r>
        <w:rPr>
          <w:rFonts w:hint="eastAsia" w:ascii="方正仿宋_GBK" w:hAnsi="宋体" w:eastAsia="方正仿宋_GBK"/>
          <w:color w:val="auto"/>
          <w:sz w:val="24"/>
          <w:szCs w:val="24"/>
          <w:highlight w:val="none"/>
        </w:rPr>
        <w:t>元/</w:t>
      </w:r>
      <w:r>
        <w:rPr>
          <w:rFonts w:hint="eastAsia" w:ascii="方正仿宋_GBK" w:hAnsi="宋体" w:eastAsia="方正仿宋_GBK"/>
          <w:color w:val="auto"/>
          <w:sz w:val="24"/>
          <w:szCs w:val="24"/>
          <w:highlight w:val="none"/>
          <w:lang w:eastAsia="zh-CN"/>
        </w:rPr>
        <w:t>份</w:t>
      </w:r>
      <w:r>
        <w:rPr>
          <w:rFonts w:hint="eastAsia" w:ascii="方正仿宋_GBK" w:hAnsi="宋体" w:eastAsia="方正仿宋_GBK"/>
          <w:color w:val="auto"/>
          <w:sz w:val="24"/>
          <w:szCs w:val="24"/>
          <w:highlight w:val="none"/>
        </w:rPr>
        <w:t>。</w:t>
      </w:r>
    </w:p>
    <w:p w14:paraId="5A16081A">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（2）收款账户：</w:t>
      </w:r>
    </w:p>
    <w:p w14:paraId="4DC4EE4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户 名：重庆云远项目管理有限公司</w:t>
      </w:r>
    </w:p>
    <w:p w14:paraId="27B0DA2F">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开户行：交通银行股份有限公司重庆江北支行</w:t>
      </w:r>
    </w:p>
    <w:p w14:paraId="7B869E42">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账 号：500500170013000309775</w:t>
      </w:r>
    </w:p>
    <w:p w14:paraId="4A2114BA">
      <w:pPr>
        <w:spacing w:line="400" w:lineRule="exact"/>
        <w:ind w:firstLine="480" w:firstLineChars="200"/>
        <w:rPr>
          <w:rFonts w:hint="eastAsia" w:ascii="方正仿宋_GBK" w:hAnsi="宋体" w:eastAsia="方正仿宋_GBK" w:cs="Times New Roman"/>
          <w:color w:val="auto"/>
          <w:sz w:val="24"/>
          <w:szCs w:val="24"/>
          <w:highlight w:val="none"/>
        </w:rPr>
      </w:pPr>
      <w:r>
        <w:rPr>
          <w:rFonts w:hint="eastAsia" w:ascii="方正仿宋_GBK" w:hAnsi="宋体" w:eastAsia="方正仿宋_GBK" w:cs="Times New Roman"/>
          <w:color w:val="auto"/>
          <w:sz w:val="24"/>
          <w:szCs w:val="24"/>
          <w:highlight w:val="none"/>
        </w:rPr>
        <w:t>4.</w:t>
      </w:r>
      <w:r>
        <w:rPr>
          <w:rFonts w:hint="eastAsia" w:ascii="方正仿宋_GBK" w:hAnsi="宋体" w:eastAsia="方正仿宋_GBK" w:cs="Times New Roman"/>
          <w:color w:val="auto"/>
          <w:sz w:val="24"/>
          <w:szCs w:val="24"/>
          <w:highlight w:val="none"/>
          <w:lang w:eastAsia="zh-CN"/>
        </w:rPr>
        <w:t>供应商需在公告发布之时起，在规定的时间内进行报名、购买磋商文件及线下递交响应文件，</w:t>
      </w:r>
      <w:r>
        <w:rPr>
          <w:rFonts w:hint="eastAsia" w:ascii="方正仿宋_GBK" w:hAnsi="宋体" w:eastAsia="方正仿宋_GBK" w:cs="Times New Roman"/>
          <w:color w:val="auto"/>
          <w:sz w:val="24"/>
          <w:szCs w:val="24"/>
          <w:highlight w:val="none"/>
        </w:rPr>
        <w:t>若未进行报名</w:t>
      </w:r>
      <w:r>
        <w:rPr>
          <w:rFonts w:hint="eastAsia" w:ascii="方正仿宋_GBK" w:hAnsi="宋体" w:eastAsia="方正仿宋_GBK" w:cs="Times New Roman"/>
          <w:color w:val="auto"/>
          <w:sz w:val="24"/>
          <w:szCs w:val="24"/>
          <w:highlight w:val="none"/>
          <w:lang w:val="en-US" w:eastAsia="zh-CN"/>
        </w:rPr>
        <w:t>、</w:t>
      </w:r>
      <w:r>
        <w:rPr>
          <w:rFonts w:hint="eastAsia" w:ascii="方正仿宋_GBK" w:hAnsi="宋体" w:eastAsia="方正仿宋_GBK" w:cs="Times New Roman"/>
          <w:color w:val="auto"/>
          <w:sz w:val="24"/>
          <w:szCs w:val="24"/>
          <w:highlight w:val="none"/>
        </w:rPr>
        <w:t>购买磋商文件</w:t>
      </w:r>
      <w:r>
        <w:rPr>
          <w:rFonts w:hint="eastAsia" w:ascii="方正仿宋_GBK" w:hAnsi="宋体" w:eastAsia="方正仿宋_GBK" w:cs="Times New Roman"/>
          <w:color w:val="auto"/>
          <w:sz w:val="24"/>
          <w:szCs w:val="24"/>
          <w:highlight w:val="none"/>
          <w:lang w:eastAsia="zh-CN"/>
        </w:rPr>
        <w:t>和线下递交响应文件的供应商视为无效投标</w:t>
      </w:r>
      <w:r>
        <w:rPr>
          <w:rFonts w:hint="eastAsia" w:ascii="方正仿宋_GBK" w:hAnsi="宋体" w:eastAsia="方正仿宋_GBK" w:cs="Times New Roman"/>
          <w:color w:val="auto"/>
          <w:sz w:val="24"/>
          <w:szCs w:val="24"/>
          <w:highlight w:val="none"/>
        </w:rPr>
        <w:t>。</w:t>
      </w:r>
    </w:p>
    <w:p w14:paraId="1F411659">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w:t>
      </w:r>
      <w:r>
        <w:rPr>
          <w:rFonts w:hint="eastAsia" w:ascii="方正仿宋_GBK" w:hAnsi="宋体" w:eastAsia="方正仿宋_GBK"/>
          <w:color w:val="auto"/>
          <w:sz w:val="24"/>
          <w:szCs w:val="24"/>
          <w:highlight w:val="none"/>
          <w:lang w:val="en-US" w:eastAsia="zh-CN"/>
        </w:rPr>
        <w:t>磋商</w:t>
      </w:r>
      <w:r>
        <w:rPr>
          <w:rFonts w:hint="eastAsia" w:ascii="方正仿宋_GBK" w:hAnsi="宋体" w:eastAsia="方正仿宋_GBK"/>
          <w:color w:val="auto"/>
          <w:sz w:val="24"/>
          <w:szCs w:val="24"/>
          <w:highlight w:val="none"/>
        </w:rPr>
        <w:t>地点：</w:t>
      </w:r>
      <w:r>
        <w:rPr>
          <w:rFonts w:hint="eastAsia" w:ascii="方正仿宋_GBK" w:hAnsi="宋体" w:eastAsia="方正仿宋_GBK" w:cs="Times New Roman"/>
          <w:color w:val="auto"/>
          <w:sz w:val="24"/>
          <w:szCs w:val="24"/>
          <w:highlight w:val="none"/>
          <w:lang w:eastAsia="zh-CN"/>
        </w:rPr>
        <w:t>重庆云远项目管理有限公司</w:t>
      </w:r>
      <w:r>
        <w:rPr>
          <w:rFonts w:hint="eastAsia" w:ascii="方正仿宋_GBK" w:hAnsi="宋体" w:eastAsia="方正仿宋_GBK"/>
          <w:color w:val="auto"/>
          <w:sz w:val="24"/>
          <w:szCs w:val="24"/>
          <w:highlight w:val="none"/>
          <w:lang w:eastAsia="zh-CN"/>
        </w:rPr>
        <w:t>会议室</w:t>
      </w:r>
      <w:r>
        <w:rPr>
          <w:rFonts w:hint="eastAsia" w:ascii="方正仿宋_GBK" w:hAnsi="宋体" w:eastAsia="方正仿宋_GBK"/>
          <w:color w:val="auto"/>
          <w:sz w:val="24"/>
          <w:szCs w:val="24"/>
          <w:highlight w:val="none"/>
        </w:rPr>
        <w:t>。</w:t>
      </w:r>
    </w:p>
    <w:p w14:paraId="1FE86541">
      <w:pPr>
        <w:snapToGrid w:val="0"/>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（六）响应文件提交时间：202</w:t>
      </w:r>
      <w:r>
        <w:rPr>
          <w:rFonts w:hint="eastAsia" w:ascii="方正仿宋_GBK" w:hAnsi="宋体" w:eastAsia="方正仿宋_GBK"/>
          <w:color w:val="auto"/>
          <w:sz w:val="24"/>
          <w:szCs w:val="24"/>
          <w:highlight w:val="none"/>
          <w:lang w:val="en-US" w:eastAsia="zh-CN"/>
        </w:rPr>
        <w:t>6</w:t>
      </w:r>
      <w:r>
        <w:rPr>
          <w:rFonts w:hint="eastAsia" w:ascii="方正仿宋_GBK" w:hAnsi="宋体" w:eastAsia="方正仿宋_GBK"/>
          <w:color w:val="auto"/>
          <w:sz w:val="24"/>
          <w:szCs w:val="24"/>
          <w:highlight w:val="none"/>
        </w:rPr>
        <w:t>年</w:t>
      </w: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月</w:t>
      </w:r>
      <w:r>
        <w:rPr>
          <w:rFonts w:hint="eastAsia" w:ascii="方正仿宋_GBK" w:hAnsi="宋体" w:eastAsia="方正仿宋_GBK"/>
          <w:color w:val="auto"/>
          <w:sz w:val="24"/>
          <w:szCs w:val="24"/>
          <w:highlight w:val="none"/>
          <w:lang w:val="en-US" w:eastAsia="zh-CN"/>
        </w:rPr>
        <w:t>22</w:t>
      </w:r>
      <w:r>
        <w:rPr>
          <w:rFonts w:hint="eastAsia" w:ascii="方正仿宋_GBK" w:hAnsi="宋体" w:eastAsia="方正仿宋_GBK"/>
          <w:color w:val="auto"/>
          <w:sz w:val="24"/>
          <w:szCs w:val="24"/>
          <w:highlight w:val="none"/>
        </w:rPr>
        <w:t>日北京时间</w:t>
      </w:r>
      <w:r>
        <w:rPr>
          <w:rFonts w:hint="eastAsia" w:ascii="方正仿宋_GBK" w:hAnsi="宋体" w:eastAsia="方正仿宋_GBK"/>
          <w:color w:val="auto"/>
          <w:sz w:val="24"/>
          <w:szCs w:val="24"/>
          <w:highlight w:val="none"/>
          <w:lang w:val="en-US" w:eastAsia="zh-CN"/>
        </w:rPr>
        <w:t>14:00</w:t>
      </w:r>
      <w:r>
        <w:rPr>
          <w:rFonts w:hint="eastAsia" w:ascii="方正仿宋_GBK" w:hAnsi="宋体" w:eastAsia="方正仿宋_GBK"/>
          <w:color w:val="auto"/>
          <w:sz w:val="24"/>
          <w:szCs w:val="24"/>
          <w:highlight w:val="none"/>
        </w:rPr>
        <w:t>至</w:t>
      </w:r>
      <w:r>
        <w:rPr>
          <w:rFonts w:hint="eastAsia" w:ascii="方正仿宋_GBK" w:hAnsi="宋体" w:eastAsia="方正仿宋_GBK"/>
          <w:color w:val="auto"/>
          <w:sz w:val="24"/>
          <w:szCs w:val="24"/>
          <w:highlight w:val="none"/>
          <w:lang w:val="en-US" w:eastAsia="zh-CN"/>
        </w:rPr>
        <w:t>14:30</w:t>
      </w:r>
      <w:r>
        <w:rPr>
          <w:rFonts w:hint="eastAsia" w:ascii="方正仿宋_GBK" w:hAnsi="宋体" w:eastAsia="方正仿宋_GBK"/>
          <w:color w:val="auto"/>
          <w:sz w:val="24"/>
          <w:szCs w:val="24"/>
          <w:highlight w:val="none"/>
        </w:rPr>
        <w:t>。</w:t>
      </w:r>
    </w:p>
    <w:p w14:paraId="10F1CA47">
      <w:pPr>
        <w:spacing w:line="400" w:lineRule="exact"/>
        <w:ind w:firstLine="480" w:firstLineChars="200"/>
        <w:outlineLvl w:val="9"/>
        <w:rPr>
          <w:rFonts w:hint="eastAsia" w:ascii="方正仿宋_GBK" w:hAnsi="宋体" w:eastAsia="方正仿宋_GBK"/>
          <w:color w:val="auto"/>
          <w:sz w:val="24"/>
          <w:szCs w:val="24"/>
          <w:highlight w:val="none"/>
        </w:rPr>
      </w:pPr>
      <w:bookmarkStart w:id="22" w:name="_Toc20555"/>
      <w:bookmarkStart w:id="23" w:name="_Toc17819"/>
      <w:r>
        <w:rPr>
          <w:rFonts w:hint="eastAsia" w:ascii="方正仿宋_GBK" w:hAnsi="宋体" w:eastAsia="方正仿宋_GBK"/>
          <w:color w:val="auto"/>
          <w:sz w:val="24"/>
          <w:szCs w:val="24"/>
          <w:highlight w:val="none"/>
        </w:rPr>
        <w:t>（七）</w:t>
      </w:r>
      <w:r>
        <w:rPr>
          <w:rFonts w:hint="eastAsia" w:ascii="方正仿宋_GBK" w:hAnsi="宋体" w:eastAsia="方正仿宋_GBK"/>
          <w:color w:val="auto"/>
          <w:sz w:val="24"/>
          <w:szCs w:val="24"/>
          <w:highlight w:val="none"/>
          <w:lang w:val="en-US" w:eastAsia="zh-CN"/>
        </w:rPr>
        <w:t>磋商</w:t>
      </w:r>
      <w:r>
        <w:rPr>
          <w:rFonts w:hint="eastAsia" w:ascii="方正仿宋_GBK" w:hAnsi="宋体" w:eastAsia="方正仿宋_GBK"/>
          <w:color w:val="auto"/>
          <w:sz w:val="24"/>
          <w:szCs w:val="24"/>
          <w:highlight w:val="none"/>
        </w:rPr>
        <w:t>开始时间：202</w:t>
      </w: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年</w:t>
      </w:r>
      <w:r>
        <w:rPr>
          <w:rFonts w:hint="eastAsia" w:ascii="方正仿宋_GBK" w:hAnsi="宋体" w:eastAsia="方正仿宋_GBK"/>
          <w:color w:val="auto"/>
          <w:sz w:val="24"/>
          <w:szCs w:val="24"/>
          <w:highlight w:val="none"/>
          <w:lang w:val="en-US" w:eastAsia="zh-CN"/>
        </w:rPr>
        <w:t>5</w:t>
      </w:r>
      <w:r>
        <w:rPr>
          <w:rFonts w:hint="eastAsia" w:ascii="方正仿宋_GBK" w:hAnsi="宋体" w:eastAsia="方正仿宋_GBK"/>
          <w:color w:val="auto"/>
          <w:sz w:val="24"/>
          <w:szCs w:val="24"/>
          <w:highlight w:val="none"/>
        </w:rPr>
        <w:t>月</w:t>
      </w:r>
      <w:r>
        <w:rPr>
          <w:rFonts w:hint="eastAsia" w:ascii="方正仿宋_GBK" w:hAnsi="宋体" w:eastAsia="方正仿宋_GBK"/>
          <w:color w:val="auto"/>
          <w:sz w:val="24"/>
          <w:szCs w:val="24"/>
          <w:highlight w:val="none"/>
          <w:lang w:val="en-US" w:eastAsia="zh-CN"/>
        </w:rPr>
        <w:t>22</w:t>
      </w:r>
      <w:bookmarkStart w:id="181" w:name="_GoBack"/>
      <w:bookmarkEnd w:id="181"/>
      <w:r>
        <w:rPr>
          <w:rFonts w:hint="eastAsia" w:ascii="方正仿宋_GBK" w:hAnsi="宋体" w:eastAsia="方正仿宋_GBK"/>
          <w:color w:val="auto"/>
          <w:sz w:val="24"/>
          <w:szCs w:val="24"/>
          <w:highlight w:val="none"/>
        </w:rPr>
        <w:t>日</w:t>
      </w:r>
      <w:r>
        <w:rPr>
          <w:rFonts w:hint="eastAsia" w:ascii="方正仿宋_GBK" w:hAnsi="宋体" w:eastAsia="方正仿宋_GBK"/>
          <w:color w:val="auto"/>
          <w:sz w:val="24"/>
          <w:szCs w:val="24"/>
          <w:highlight w:val="none"/>
          <w:lang w:val="en-US" w:eastAsia="zh-CN"/>
        </w:rPr>
        <w:t>14</w:t>
      </w:r>
      <w:r>
        <w:rPr>
          <w:rFonts w:hint="eastAsia" w:ascii="方正仿宋_GBK" w:hAnsi="宋体" w:eastAsia="方正仿宋_GBK"/>
          <w:color w:val="auto"/>
          <w:sz w:val="24"/>
          <w:szCs w:val="24"/>
          <w:highlight w:val="none"/>
        </w:rPr>
        <w:t>：30（北京时间）。</w:t>
      </w:r>
      <w:bookmarkEnd w:id="22"/>
      <w:bookmarkEnd w:id="23"/>
    </w:p>
    <w:bookmarkEnd w:id="15"/>
    <w:p w14:paraId="416D9975">
      <w:pPr>
        <w:pStyle w:val="3"/>
        <w:adjustRightInd w:val="0"/>
        <w:snapToGrid w:val="0"/>
        <w:spacing w:before="0" w:after="0" w:line="400" w:lineRule="exact"/>
        <w:ind w:firstLine="482" w:firstLineChars="200"/>
        <w:rPr>
          <w:rFonts w:hint="eastAsia" w:ascii="方正仿宋_GBK" w:hAnsi="宋体" w:eastAsia="方正仿宋_GBK"/>
          <w:color w:val="auto"/>
          <w:sz w:val="24"/>
          <w:szCs w:val="24"/>
          <w:highlight w:val="none"/>
        </w:rPr>
      </w:pPr>
      <w:bookmarkStart w:id="24" w:name="_Toc480466699"/>
      <w:bookmarkStart w:id="25" w:name="_Toc76462322"/>
      <w:bookmarkStart w:id="26" w:name="_Toc106030876"/>
      <w:bookmarkStart w:id="27" w:name="_Toc18294"/>
      <w:r>
        <w:rPr>
          <w:rFonts w:hint="eastAsia" w:ascii="方正仿宋_GBK" w:hAnsi="宋体" w:eastAsia="方正仿宋_GBK"/>
          <w:color w:val="auto"/>
          <w:sz w:val="24"/>
          <w:szCs w:val="24"/>
          <w:highlight w:val="none"/>
          <w:lang w:eastAsia="zh-CN"/>
        </w:rPr>
        <w:t>五</w:t>
      </w:r>
      <w:r>
        <w:rPr>
          <w:rFonts w:hint="eastAsia" w:ascii="方正仿宋_GBK" w:hAnsi="宋体" w:eastAsia="方正仿宋_GBK"/>
          <w:color w:val="auto"/>
          <w:sz w:val="24"/>
          <w:szCs w:val="24"/>
          <w:highlight w:val="none"/>
        </w:rPr>
        <w:t>、其它有关规定</w:t>
      </w:r>
      <w:bookmarkEnd w:id="24"/>
      <w:bookmarkEnd w:id="25"/>
      <w:bookmarkEnd w:id="26"/>
      <w:bookmarkEnd w:id="27"/>
    </w:p>
    <w:p w14:paraId="42E1B178">
      <w:pPr>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（一）单位负责人为同一人或者存在直接控股、管理关系的不同供应商，</w:t>
      </w:r>
      <w:r>
        <w:rPr>
          <w:rFonts w:ascii="方正仿宋_GBK" w:hAnsi="宋体" w:eastAsia="方正仿宋_GBK"/>
          <w:color w:val="auto"/>
          <w:sz w:val="24"/>
          <w:szCs w:val="24"/>
          <w:highlight w:val="none"/>
        </w:rPr>
        <w:t>不得参加同一合同项</w:t>
      </w:r>
      <w:r>
        <w:rPr>
          <w:rFonts w:hint="eastAsia" w:ascii="方正仿宋_GBK" w:hAnsi="宋体" w:eastAsia="方正仿宋_GBK"/>
          <w:color w:val="auto"/>
          <w:sz w:val="24"/>
          <w:szCs w:val="24"/>
          <w:highlight w:val="none"/>
        </w:rPr>
        <w:t>（包）</w:t>
      </w:r>
      <w:r>
        <w:rPr>
          <w:rFonts w:ascii="方正仿宋_GBK" w:hAnsi="宋体" w:eastAsia="方正仿宋_GBK"/>
          <w:color w:val="auto"/>
          <w:sz w:val="24"/>
          <w:szCs w:val="24"/>
          <w:highlight w:val="none"/>
        </w:rPr>
        <w:t>下的政府采购活动</w:t>
      </w:r>
      <w:r>
        <w:rPr>
          <w:rFonts w:hint="eastAsia" w:ascii="方正仿宋_GBK" w:hAnsi="宋体" w:eastAsia="方正仿宋_GBK"/>
          <w:color w:val="auto"/>
          <w:sz w:val="24"/>
          <w:szCs w:val="24"/>
          <w:highlight w:val="none"/>
        </w:rPr>
        <w:t>，否则均为无效响应。</w:t>
      </w:r>
    </w:p>
    <w:p w14:paraId="25A9F756">
      <w:pPr>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（二）为采购项目提供整体设计、规范编制或者项目管理、监理、检测等服务的供应商，不得再</w:t>
      </w:r>
      <w:r>
        <w:rPr>
          <w:rFonts w:ascii="方正仿宋_GBK" w:hAnsi="宋体" w:eastAsia="方正仿宋_GBK"/>
          <w:color w:val="auto"/>
          <w:sz w:val="24"/>
          <w:szCs w:val="24"/>
          <w:highlight w:val="none"/>
        </w:rPr>
        <w:t>参加</w:t>
      </w:r>
      <w:r>
        <w:rPr>
          <w:rFonts w:hint="eastAsia" w:ascii="方正仿宋_GBK" w:hAnsi="宋体" w:eastAsia="方正仿宋_GBK"/>
          <w:color w:val="auto"/>
          <w:sz w:val="24"/>
          <w:szCs w:val="24"/>
          <w:highlight w:val="none"/>
        </w:rPr>
        <w:t>该采购</w:t>
      </w:r>
      <w:r>
        <w:rPr>
          <w:rFonts w:ascii="方正仿宋_GBK" w:hAnsi="宋体" w:eastAsia="方正仿宋_GBK"/>
          <w:color w:val="auto"/>
          <w:sz w:val="24"/>
          <w:szCs w:val="24"/>
          <w:highlight w:val="none"/>
        </w:rPr>
        <w:t>项目的</w:t>
      </w:r>
      <w:r>
        <w:rPr>
          <w:rFonts w:hint="eastAsia" w:ascii="方正仿宋_GBK" w:hAnsi="宋体" w:eastAsia="方正仿宋_GBK"/>
          <w:color w:val="auto"/>
          <w:sz w:val="24"/>
          <w:szCs w:val="24"/>
          <w:highlight w:val="none"/>
        </w:rPr>
        <w:t>其他</w:t>
      </w:r>
      <w:r>
        <w:rPr>
          <w:rFonts w:ascii="方正仿宋_GBK" w:hAnsi="宋体" w:eastAsia="方正仿宋_GBK"/>
          <w:color w:val="auto"/>
          <w:sz w:val="24"/>
          <w:szCs w:val="24"/>
          <w:highlight w:val="none"/>
        </w:rPr>
        <w:t>采购活动</w:t>
      </w:r>
      <w:r>
        <w:rPr>
          <w:rFonts w:hint="eastAsia" w:ascii="方正仿宋_GBK" w:hAnsi="宋体" w:eastAsia="方正仿宋_GBK"/>
          <w:color w:val="auto"/>
          <w:sz w:val="24"/>
          <w:szCs w:val="24"/>
          <w:highlight w:val="none"/>
        </w:rPr>
        <w:t>。</w:t>
      </w:r>
    </w:p>
    <w:p w14:paraId="18A15C6D">
      <w:pPr>
        <w:wordWrap w:val="0"/>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（三）本项目的澄清文件（如果有）一律在</w:t>
      </w:r>
      <w:r>
        <w:rPr>
          <w:rFonts w:hint="eastAsia" w:ascii="方正仿宋_GBK" w:hAnsi="宋体" w:eastAsia="方正仿宋_GBK"/>
          <w:color w:val="auto"/>
          <w:sz w:val="24"/>
          <w:szCs w:val="24"/>
          <w:highlight w:val="none"/>
          <w:lang w:eastAsia="zh-CN"/>
        </w:rPr>
        <w:t>行采家(https://www.gec123.com/)、重庆市总工会（https://www.cqgh.org/）</w:t>
      </w:r>
      <w:r>
        <w:rPr>
          <w:rFonts w:hint="eastAsia" w:ascii="方正仿宋_GBK" w:hAnsi="宋体" w:eastAsia="方正仿宋_GBK"/>
          <w:color w:val="auto"/>
          <w:sz w:val="24"/>
          <w:szCs w:val="24"/>
          <w:highlight w:val="none"/>
        </w:rPr>
        <w:t>上发布，请各供应商注意下载；无论供应商下载与否，均视同供应商已知晓本项目澄清文件（如果有）的内容。</w:t>
      </w:r>
    </w:p>
    <w:p w14:paraId="2D29E810">
      <w:pPr>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（四）超过响应文件截止时间递交的响应文件，恕不接收。</w:t>
      </w:r>
    </w:p>
    <w:p w14:paraId="2807C83B">
      <w:pPr>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（五）磋商费用：无论磋商结果如何，供应商参与本项目磋商的所有费用均应由供应商自行承担。</w:t>
      </w:r>
    </w:p>
    <w:p w14:paraId="39711DCD">
      <w:pPr>
        <w:snapToGrid w:val="0"/>
        <w:spacing w:line="400" w:lineRule="exact"/>
        <w:ind w:firstLine="361" w:firstLineChars="150"/>
        <w:rPr>
          <w:rFonts w:hint="eastAsia" w:ascii="方正仿宋_GBK" w:hAnsi="宋体" w:eastAsia="方正仿宋_GBK"/>
          <w:b/>
          <w:color w:val="auto"/>
          <w:sz w:val="24"/>
          <w:szCs w:val="24"/>
          <w:highlight w:val="none"/>
        </w:rPr>
      </w:pPr>
      <w:r>
        <w:rPr>
          <w:rFonts w:hint="eastAsia" w:ascii="方正仿宋_GBK" w:hAnsi="宋体" w:eastAsia="方正仿宋_GBK"/>
          <w:b/>
          <w:bCs/>
          <w:color w:val="auto"/>
          <w:sz w:val="24"/>
          <w:szCs w:val="24"/>
          <w:highlight w:val="none"/>
        </w:rPr>
        <w:t>（六）</w:t>
      </w:r>
      <w:r>
        <w:rPr>
          <w:rFonts w:hint="eastAsia" w:ascii="方正仿宋_GBK" w:hAnsi="宋体" w:eastAsia="方正仿宋_GBK"/>
          <w:b/>
          <w:color w:val="auto"/>
          <w:sz w:val="24"/>
          <w:szCs w:val="24"/>
          <w:highlight w:val="none"/>
        </w:rPr>
        <w:t>本项目</w:t>
      </w:r>
      <w:r>
        <w:rPr>
          <w:rFonts w:hint="eastAsia" w:ascii="方正仿宋_GBK" w:hAnsi="宋体" w:eastAsia="方正仿宋_GBK"/>
          <w:b/>
          <w:color w:val="auto"/>
          <w:sz w:val="24"/>
          <w:szCs w:val="24"/>
          <w:highlight w:val="none"/>
          <w:lang w:val="en-US" w:eastAsia="zh-CN"/>
        </w:rPr>
        <w:t>不</w:t>
      </w:r>
      <w:r>
        <w:rPr>
          <w:rFonts w:hint="eastAsia" w:ascii="方正仿宋_GBK" w:hAnsi="宋体" w:eastAsia="方正仿宋_GBK"/>
          <w:b/>
          <w:color w:val="auto"/>
          <w:sz w:val="24"/>
          <w:szCs w:val="24"/>
          <w:highlight w:val="none"/>
        </w:rPr>
        <w:t>接受联合</w:t>
      </w:r>
      <w:r>
        <w:rPr>
          <w:rFonts w:hint="eastAsia" w:ascii="方正仿宋_GBK" w:hAnsi="宋体" w:eastAsia="方正仿宋_GBK" w:cs="Times New Roman"/>
          <w:b/>
          <w:color w:val="auto"/>
          <w:sz w:val="24"/>
          <w:szCs w:val="24"/>
          <w:highlight w:val="none"/>
        </w:rPr>
        <w:t>体参与磋商</w:t>
      </w:r>
      <w:r>
        <w:rPr>
          <w:rFonts w:hint="eastAsia" w:ascii="方正仿宋_GBK" w:hAnsi="宋体" w:eastAsia="方正仿宋_GBK" w:cs="Times New Roman"/>
          <w:b/>
          <w:i w:val="0"/>
          <w:iCs w:val="0"/>
          <w:color w:val="auto"/>
          <w:sz w:val="24"/>
          <w:szCs w:val="24"/>
          <w:highlight w:val="none"/>
        </w:rPr>
        <w:t>，否则按无效处理</w:t>
      </w:r>
      <w:r>
        <w:rPr>
          <w:rFonts w:hint="eastAsia" w:ascii="方正仿宋_GBK" w:hAnsi="宋体" w:eastAsia="方正仿宋_GBK" w:cs="Times New Roman"/>
          <w:b/>
          <w:color w:val="auto"/>
          <w:sz w:val="24"/>
          <w:szCs w:val="24"/>
          <w:highlight w:val="none"/>
        </w:rPr>
        <w:t>。</w:t>
      </w:r>
    </w:p>
    <w:p w14:paraId="0B7093C6">
      <w:pPr>
        <w:snapToGrid w:val="0"/>
        <w:spacing w:line="400" w:lineRule="exact"/>
        <w:ind w:firstLine="361" w:firstLineChars="150"/>
        <w:rPr>
          <w:rFonts w:hint="eastAsia" w:ascii="方正仿宋_GBK" w:hAnsi="宋体" w:eastAsia="方正仿宋_GBK"/>
          <w:color w:val="auto"/>
          <w:sz w:val="24"/>
          <w:szCs w:val="24"/>
          <w:highlight w:val="none"/>
        </w:rPr>
      </w:pPr>
      <w:r>
        <w:rPr>
          <w:rFonts w:hint="eastAsia" w:ascii="方正仿宋_GBK" w:hAnsi="宋体" w:eastAsia="方正仿宋_GBK"/>
          <w:b/>
          <w:bCs/>
          <w:color w:val="auto"/>
          <w:sz w:val="24"/>
          <w:szCs w:val="24"/>
          <w:highlight w:val="none"/>
        </w:rPr>
        <w:t>（七）</w:t>
      </w:r>
      <w:r>
        <w:rPr>
          <w:rFonts w:hint="eastAsia" w:ascii="方正仿宋_GBK" w:hAnsi="宋体" w:eastAsia="方正仿宋_GBK"/>
          <w:b/>
          <w:color w:val="auto"/>
          <w:sz w:val="24"/>
          <w:szCs w:val="24"/>
          <w:highlight w:val="none"/>
        </w:rPr>
        <w:t>本项目</w:t>
      </w:r>
      <w:r>
        <w:rPr>
          <w:rFonts w:hint="eastAsia" w:ascii="方正仿宋_GBK" w:hAnsi="宋体" w:eastAsia="方正仿宋_GBK"/>
          <w:b/>
          <w:color w:val="auto"/>
          <w:sz w:val="24"/>
          <w:szCs w:val="24"/>
          <w:highlight w:val="none"/>
          <w:lang w:val="en-US" w:eastAsia="zh-CN"/>
        </w:rPr>
        <w:t>不</w:t>
      </w:r>
      <w:r>
        <w:rPr>
          <w:rFonts w:hint="eastAsia" w:ascii="方正仿宋_GBK" w:hAnsi="宋体" w:eastAsia="方正仿宋_GBK"/>
          <w:b/>
          <w:color w:val="auto"/>
          <w:sz w:val="24"/>
          <w:szCs w:val="24"/>
          <w:highlight w:val="none"/>
        </w:rPr>
        <w:t>接</w:t>
      </w:r>
      <w:r>
        <w:rPr>
          <w:rFonts w:hint="eastAsia" w:ascii="方正仿宋_GBK" w:hAnsi="宋体" w:eastAsia="方正仿宋_GBK" w:cs="Times New Roman"/>
          <w:b/>
          <w:color w:val="auto"/>
          <w:sz w:val="24"/>
          <w:szCs w:val="24"/>
          <w:highlight w:val="none"/>
        </w:rPr>
        <w:t>受合同分包</w:t>
      </w:r>
      <w:r>
        <w:rPr>
          <w:rFonts w:hint="eastAsia" w:ascii="方正仿宋_GBK" w:hAnsi="宋体" w:eastAsia="方正仿宋_GBK" w:cs="Times New Roman"/>
          <w:b/>
          <w:i w:val="0"/>
          <w:iCs w:val="0"/>
          <w:color w:val="auto"/>
          <w:sz w:val="24"/>
          <w:szCs w:val="24"/>
          <w:highlight w:val="none"/>
        </w:rPr>
        <w:t>，否则按无效处理</w:t>
      </w:r>
      <w:r>
        <w:rPr>
          <w:rFonts w:hint="eastAsia" w:ascii="方正仿宋_GBK" w:hAnsi="宋体" w:eastAsia="方正仿宋_GBK" w:cs="Times New Roman"/>
          <w:b/>
          <w:color w:val="auto"/>
          <w:sz w:val="24"/>
          <w:szCs w:val="24"/>
          <w:highlight w:val="none"/>
        </w:rPr>
        <w:t>。</w:t>
      </w:r>
    </w:p>
    <w:p w14:paraId="756DB01C">
      <w:pPr>
        <w:snapToGrid w:val="0"/>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w:t>
      </w:r>
      <w:bookmarkStart w:id="28" w:name="_Toc480466700"/>
      <w:r>
        <w:rPr>
          <w:rFonts w:hint="eastAsia" w:ascii="方正仿宋_GBK" w:hAnsi="宋体" w:eastAsia="方正仿宋_GBK"/>
          <w:color w:val="auto"/>
          <w:sz w:val="24"/>
          <w:szCs w:val="24"/>
          <w:highlight w:val="none"/>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01AAB44F">
      <w:pPr>
        <w:pStyle w:val="3"/>
        <w:adjustRightInd w:val="0"/>
        <w:snapToGrid w:val="0"/>
        <w:spacing w:before="0" w:after="0" w:line="400" w:lineRule="exact"/>
        <w:ind w:firstLine="482" w:firstLineChars="200"/>
        <w:rPr>
          <w:rFonts w:hint="eastAsia" w:ascii="方正仿宋_GBK" w:hAnsi="宋体" w:eastAsia="方正仿宋_GBK"/>
          <w:color w:val="auto"/>
          <w:sz w:val="24"/>
          <w:szCs w:val="24"/>
          <w:highlight w:val="none"/>
        </w:rPr>
      </w:pPr>
      <w:bookmarkStart w:id="29" w:name="_Toc106030877"/>
      <w:bookmarkStart w:id="30" w:name="_Toc76462323"/>
      <w:bookmarkStart w:id="31" w:name="_Toc996"/>
      <w:r>
        <w:rPr>
          <w:rFonts w:hint="eastAsia" w:ascii="方正仿宋_GBK" w:hAnsi="宋体" w:eastAsia="方正仿宋_GBK"/>
          <w:color w:val="auto"/>
          <w:sz w:val="24"/>
          <w:szCs w:val="24"/>
          <w:highlight w:val="none"/>
          <w:lang w:eastAsia="zh-CN"/>
        </w:rPr>
        <w:t>六</w:t>
      </w:r>
      <w:r>
        <w:rPr>
          <w:rFonts w:hint="eastAsia" w:ascii="方正仿宋_GBK" w:hAnsi="宋体" w:eastAsia="方正仿宋_GBK"/>
          <w:color w:val="auto"/>
          <w:sz w:val="24"/>
          <w:szCs w:val="24"/>
          <w:highlight w:val="none"/>
        </w:rPr>
        <w:t>、联系方式</w:t>
      </w:r>
      <w:bookmarkEnd w:id="28"/>
      <w:bookmarkEnd w:id="29"/>
      <w:bookmarkEnd w:id="30"/>
      <w:bookmarkEnd w:id="31"/>
    </w:p>
    <w:p w14:paraId="13191F14">
      <w:pPr>
        <w:snapToGrid w:val="0"/>
        <w:spacing w:line="400" w:lineRule="exact"/>
        <w:ind w:firstLine="480" w:firstLineChars="200"/>
        <w:outlineLvl w:val="9"/>
        <w:rPr>
          <w:rFonts w:hint="eastAsia" w:ascii="方正仿宋_GBK" w:hAnsi="宋体" w:eastAsia="方正仿宋_GBK" w:cs="Times New Roman"/>
          <w:color w:val="auto"/>
          <w:sz w:val="24"/>
          <w:szCs w:val="24"/>
          <w:highlight w:val="none"/>
        </w:rPr>
      </w:pPr>
      <w:r>
        <w:rPr>
          <w:rFonts w:hint="eastAsia" w:ascii="方正仿宋_GBK" w:hAnsi="宋体" w:eastAsia="方正仿宋_GBK" w:cs="Times New Roman"/>
          <w:color w:val="auto"/>
          <w:sz w:val="24"/>
          <w:szCs w:val="24"/>
          <w:highlight w:val="none"/>
        </w:rPr>
        <w:t>（一）采购人：</w:t>
      </w:r>
      <w:r>
        <w:rPr>
          <w:rFonts w:hint="eastAsia" w:ascii="方正仿宋_GBK" w:hAnsi="宋体" w:eastAsia="方正仿宋_GBK" w:cs="Times New Roman"/>
          <w:color w:val="auto"/>
          <w:sz w:val="24"/>
          <w:szCs w:val="24"/>
          <w:highlight w:val="none"/>
          <w:lang w:eastAsia="zh-CN"/>
        </w:rPr>
        <w:t>重庆市总工会</w:t>
      </w:r>
      <w:r>
        <w:rPr>
          <w:rFonts w:hint="eastAsia" w:ascii="方正仿宋_GBK" w:hAnsi="宋体" w:eastAsia="方正仿宋_GBK" w:cs="Times New Roman"/>
          <w:color w:val="auto"/>
          <w:sz w:val="24"/>
          <w:szCs w:val="24"/>
          <w:highlight w:val="none"/>
        </w:rPr>
        <w:t xml:space="preserve">  </w:t>
      </w:r>
    </w:p>
    <w:p w14:paraId="6F806164">
      <w:pPr>
        <w:snapToGrid w:val="0"/>
        <w:spacing w:line="400" w:lineRule="exact"/>
        <w:ind w:firstLine="480" w:firstLineChars="200"/>
        <w:outlineLvl w:val="9"/>
        <w:rPr>
          <w:rFonts w:hint="default"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联系人：</w:t>
      </w:r>
      <w:r>
        <w:rPr>
          <w:rFonts w:hint="eastAsia" w:ascii="方正仿宋_GBK" w:hAnsi="宋体" w:eastAsia="方正仿宋_GBK" w:cs="Times New Roman"/>
          <w:color w:val="auto"/>
          <w:sz w:val="24"/>
          <w:szCs w:val="24"/>
          <w:highlight w:val="none"/>
          <w:lang w:val="en-US" w:eastAsia="zh-CN"/>
        </w:rPr>
        <w:t>徐老师</w:t>
      </w:r>
    </w:p>
    <w:p w14:paraId="28FB8AB8">
      <w:pPr>
        <w:snapToGrid w:val="0"/>
        <w:spacing w:line="400" w:lineRule="exact"/>
        <w:ind w:firstLine="480" w:firstLineChars="200"/>
        <w:outlineLvl w:val="9"/>
        <w:rPr>
          <w:rFonts w:hint="default"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电  话：</w:t>
      </w:r>
      <w:r>
        <w:rPr>
          <w:rFonts w:hint="eastAsia" w:ascii="方正仿宋_GBK" w:hAnsi="宋体" w:eastAsia="方正仿宋_GBK" w:cs="Times New Roman"/>
          <w:color w:val="auto"/>
          <w:sz w:val="24"/>
          <w:szCs w:val="24"/>
          <w:highlight w:val="none"/>
          <w:lang w:val="en-US" w:eastAsia="zh-CN"/>
        </w:rPr>
        <w:t>13032320685</w:t>
      </w:r>
    </w:p>
    <w:p w14:paraId="2F9A98D7">
      <w:pPr>
        <w:snapToGrid w:val="0"/>
        <w:spacing w:line="400" w:lineRule="exact"/>
        <w:ind w:firstLine="480" w:firstLineChars="200"/>
        <w:outlineLvl w:val="9"/>
        <w:rPr>
          <w:rFonts w:hint="eastAsia"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地  址：</w:t>
      </w:r>
      <w:r>
        <w:rPr>
          <w:rFonts w:hint="eastAsia" w:ascii="方正仿宋_GBK" w:hAnsi="宋体" w:eastAsia="方正仿宋_GBK" w:cs="Times New Roman"/>
          <w:color w:val="auto"/>
          <w:sz w:val="24"/>
          <w:szCs w:val="24"/>
          <w:highlight w:val="none"/>
          <w:lang w:val="en-US" w:eastAsia="zh-CN"/>
        </w:rPr>
        <w:t xml:space="preserve"> 重庆市渝中区中山三路157号汇源大厦</w:t>
      </w:r>
    </w:p>
    <w:p w14:paraId="0BBDE77F">
      <w:pPr>
        <w:snapToGrid w:val="0"/>
        <w:spacing w:line="400" w:lineRule="exact"/>
        <w:ind w:firstLine="480" w:firstLineChars="200"/>
        <w:outlineLvl w:val="9"/>
        <w:rPr>
          <w:rFonts w:hint="eastAsia" w:ascii="方正仿宋_GBK" w:hAnsi="宋体" w:eastAsia="方正仿宋_GBK" w:cs="Times New Roman"/>
          <w:color w:val="auto"/>
          <w:sz w:val="24"/>
          <w:szCs w:val="24"/>
          <w:highlight w:val="none"/>
          <w:lang w:eastAsia="zh-CN"/>
        </w:rPr>
      </w:pPr>
      <w:r>
        <w:rPr>
          <w:rFonts w:hint="eastAsia" w:ascii="方正仿宋_GBK" w:hAnsi="宋体" w:eastAsia="方正仿宋_GBK" w:cs="Times New Roman"/>
          <w:color w:val="auto"/>
          <w:sz w:val="24"/>
          <w:szCs w:val="24"/>
          <w:highlight w:val="none"/>
        </w:rPr>
        <w:t>（二）采购代理机构：</w:t>
      </w:r>
      <w:r>
        <w:rPr>
          <w:rFonts w:hint="eastAsia" w:ascii="方正仿宋_GBK" w:hAnsi="宋体" w:eastAsia="方正仿宋_GBK" w:cs="Times New Roman"/>
          <w:color w:val="auto"/>
          <w:sz w:val="24"/>
          <w:szCs w:val="24"/>
          <w:highlight w:val="none"/>
          <w:lang w:eastAsia="zh-CN"/>
        </w:rPr>
        <w:t>重庆云远项目管理有限公司</w:t>
      </w:r>
    </w:p>
    <w:p w14:paraId="6B028B9A">
      <w:pPr>
        <w:snapToGrid w:val="0"/>
        <w:spacing w:line="400" w:lineRule="exact"/>
        <w:ind w:firstLine="480" w:firstLineChars="200"/>
        <w:outlineLvl w:val="9"/>
        <w:rPr>
          <w:rFonts w:hint="eastAsia" w:ascii="方正仿宋_GBK" w:hAnsi="宋体" w:eastAsia="方正仿宋_GBK" w:cs="Times New Roman"/>
          <w:color w:val="auto"/>
          <w:sz w:val="24"/>
          <w:szCs w:val="24"/>
          <w:highlight w:val="none"/>
          <w:lang w:eastAsia="zh-CN"/>
        </w:rPr>
      </w:pPr>
      <w:r>
        <w:rPr>
          <w:rFonts w:hint="eastAsia" w:ascii="方正仿宋_GBK" w:hAnsi="宋体" w:eastAsia="方正仿宋_GBK" w:cs="Times New Roman"/>
          <w:color w:val="auto"/>
          <w:sz w:val="24"/>
          <w:szCs w:val="24"/>
          <w:highlight w:val="none"/>
        </w:rPr>
        <w:t>联系人：</w:t>
      </w:r>
      <w:r>
        <w:rPr>
          <w:rFonts w:hint="eastAsia" w:ascii="方正仿宋_GBK" w:hAnsi="宋体" w:eastAsia="方正仿宋_GBK" w:cs="Times New Roman"/>
          <w:color w:val="auto"/>
          <w:sz w:val="24"/>
          <w:szCs w:val="24"/>
          <w:highlight w:val="none"/>
          <w:lang w:eastAsia="zh-CN"/>
        </w:rPr>
        <w:t>张老师</w:t>
      </w:r>
    </w:p>
    <w:p w14:paraId="74E94246">
      <w:pPr>
        <w:snapToGrid w:val="0"/>
        <w:spacing w:line="400" w:lineRule="exact"/>
        <w:ind w:firstLine="480" w:firstLineChars="200"/>
        <w:outlineLvl w:val="9"/>
        <w:rPr>
          <w:rFonts w:hint="default" w:ascii="方正仿宋_GBK" w:hAnsi="宋体" w:eastAsia="方正仿宋_GBK" w:cs="Times New Roman"/>
          <w:color w:val="auto"/>
          <w:sz w:val="24"/>
          <w:szCs w:val="24"/>
          <w:highlight w:val="none"/>
          <w:lang w:val="en-US" w:eastAsia="zh-CN"/>
        </w:rPr>
      </w:pPr>
      <w:r>
        <w:rPr>
          <w:rFonts w:hint="eastAsia" w:ascii="方正仿宋_GBK" w:hAnsi="宋体" w:eastAsia="方正仿宋_GBK" w:cs="Times New Roman"/>
          <w:color w:val="auto"/>
          <w:sz w:val="24"/>
          <w:szCs w:val="24"/>
          <w:highlight w:val="none"/>
        </w:rPr>
        <w:t>电  话：</w:t>
      </w:r>
      <w:r>
        <w:rPr>
          <w:rFonts w:hint="eastAsia" w:ascii="方正仿宋_GBK" w:hAnsi="宋体" w:eastAsia="方正仿宋_GBK" w:cs="Times New Roman"/>
          <w:color w:val="auto"/>
          <w:sz w:val="24"/>
          <w:szCs w:val="24"/>
          <w:highlight w:val="none"/>
          <w:lang w:val="en-US" w:eastAsia="zh-CN"/>
        </w:rPr>
        <w:t>023-68434996</w:t>
      </w:r>
    </w:p>
    <w:p w14:paraId="6D304F40">
      <w:pPr>
        <w:snapToGrid w:val="0"/>
        <w:spacing w:line="400" w:lineRule="exact"/>
        <w:ind w:firstLine="480" w:firstLineChars="200"/>
        <w:outlineLvl w:val="9"/>
        <w:rPr>
          <w:rFonts w:hint="eastAsia" w:ascii="方正仿宋_GBK" w:hAnsi="宋体" w:eastAsia="方正仿宋_GBK"/>
          <w:color w:val="auto"/>
          <w:sz w:val="24"/>
          <w:szCs w:val="24"/>
          <w:highlight w:val="none"/>
          <w:lang w:eastAsia="zh-CN"/>
        </w:rPr>
      </w:pPr>
      <w:r>
        <w:rPr>
          <w:rFonts w:hint="eastAsia" w:ascii="方正仿宋_GBK" w:hAnsi="宋体" w:eastAsia="方正仿宋_GBK" w:cs="Times New Roman"/>
          <w:color w:val="auto"/>
          <w:sz w:val="24"/>
          <w:szCs w:val="24"/>
          <w:highlight w:val="none"/>
        </w:rPr>
        <w:t>地  址：</w:t>
      </w:r>
      <w:r>
        <w:rPr>
          <w:rFonts w:hint="eastAsia" w:ascii="方正仿宋_GBK" w:hAnsi="宋体" w:eastAsia="方正仿宋_GBK" w:cs="Times New Roman"/>
          <w:color w:val="auto"/>
          <w:sz w:val="24"/>
          <w:szCs w:val="24"/>
          <w:highlight w:val="none"/>
          <w:lang w:eastAsia="zh-CN"/>
        </w:rPr>
        <w:t>重庆市九龙坡区杨家坪渝隆大厦28楼</w:t>
      </w:r>
    </w:p>
    <w:p w14:paraId="6B583EC7">
      <w:pPr>
        <w:snapToGrid w:val="0"/>
        <w:spacing w:line="400" w:lineRule="exact"/>
        <w:ind w:firstLine="480" w:firstLineChars="200"/>
        <w:rPr>
          <w:rFonts w:hint="eastAsia" w:ascii="方正仿宋_GBK" w:hAnsi="宋体" w:eastAsia="方正仿宋_GBK"/>
          <w:color w:val="auto"/>
          <w:sz w:val="24"/>
          <w:szCs w:val="24"/>
          <w:highlight w:val="none"/>
        </w:rPr>
      </w:pPr>
    </w:p>
    <w:p w14:paraId="222DD8E5">
      <w:pPr>
        <w:snapToGrid w:val="0"/>
        <w:spacing w:line="400" w:lineRule="exact"/>
        <w:ind w:firstLine="482" w:firstLineChars="200"/>
        <w:rPr>
          <w:rFonts w:hint="eastAsia" w:ascii="宋体" w:hAnsi="宋体"/>
          <w:b/>
          <w:color w:val="auto"/>
          <w:sz w:val="24"/>
          <w:szCs w:val="24"/>
          <w:highlight w:val="none"/>
        </w:rPr>
        <w:sectPr>
          <w:footerReference r:id="rId8" w:type="default"/>
          <w:pgSz w:w="11907" w:h="16840"/>
          <w:pgMar w:top="1134" w:right="1418" w:bottom="1134" w:left="1418" w:header="964" w:footer="992" w:gutter="0"/>
          <w:pgNumType w:fmt="numberInDash" w:start="1"/>
          <w:cols w:space="720" w:num="1"/>
          <w:docGrid w:linePitch="312" w:charSpace="0"/>
        </w:sectPr>
      </w:pPr>
    </w:p>
    <w:p w14:paraId="0ED6CCB6">
      <w:pPr>
        <w:ind w:firstLine="600" w:firstLineChars="200"/>
        <w:jc w:val="center"/>
        <w:rPr>
          <w:rFonts w:hint="eastAsia"/>
          <w:color w:val="auto"/>
          <w:sz w:val="30"/>
          <w:szCs w:val="30"/>
        </w:rPr>
      </w:pPr>
      <w:bookmarkStart w:id="32" w:name="_Toc76462324"/>
      <w:bookmarkStart w:id="33" w:name="_Toc106030878"/>
      <w:r>
        <w:rPr>
          <w:rFonts w:hint="eastAsia"/>
          <w:color w:val="auto"/>
          <w:sz w:val="30"/>
          <w:szCs w:val="30"/>
          <w:lang w:eastAsia="zh-CN"/>
        </w:rPr>
        <w:t>报名</w:t>
      </w:r>
      <w:r>
        <w:rPr>
          <w:rFonts w:hint="eastAsia"/>
          <w:color w:val="auto"/>
          <w:sz w:val="30"/>
          <w:szCs w:val="30"/>
        </w:rPr>
        <w:t>登记表</w:t>
      </w:r>
    </w:p>
    <w:p w14:paraId="1EB34BD3">
      <w:pPr>
        <w:pStyle w:val="22"/>
        <w:rPr>
          <w:rFonts w:hint="eastAsia"/>
          <w:color w:val="auto"/>
        </w:rPr>
      </w:pPr>
    </w:p>
    <w:tbl>
      <w:tblPr>
        <w:tblStyle w:val="58"/>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0"/>
        <w:gridCol w:w="1882"/>
        <w:gridCol w:w="1302"/>
        <w:gridCol w:w="3574"/>
      </w:tblGrid>
      <w:tr w14:paraId="7EFA12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jc w:val="center"/>
        </w:trPr>
        <w:tc>
          <w:tcPr>
            <w:tcW w:w="1770" w:type="dxa"/>
            <w:noWrap w:val="0"/>
            <w:vAlign w:val="center"/>
          </w:tcPr>
          <w:p w14:paraId="34544CDA">
            <w:pPr>
              <w:jc w:val="center"/>
              <w:rPr>
                <w:rFonts w:hint="eastAsia"/>
                <w:color w:val="auto"/>
                <w:sz w:val="30"/>
                <w:szCs w:val="30"/>
              </w:rPr>
            </w:pPr>
            <w:r>
              <w:rPr>
                <w:rFonts w:hint="eastAsia"/>
                <w:color w:val="auto"/>
                <w:sz w:val="30"/>
                <w:szCs w:val="30"/>
              </w:rPr>
              <w:t>项目名称</w:t>
            </w:r>
          </w:p>
        </w:tc>
        <w:tc>
          <w:tcPr>
            <w:tcW w:w="6758" w:type="dxa"/>
            <w:gridSpan w:val="3"/>
            <w:noWrap w:val="0"/>
            <w:vAlign w:val="center"/>
          </w:tcPr>
          <w:p w14:paraId="5762CB49">
            <w:pPr>
              <w:jc w:val="center"/>
              <w:rPr>
                <w:rFonts w:hint="eastAsia"/>
                <w:color w:val="auto"/>
                <w:sz w:val="30"/>
                <w:szCs w:val="30"/>
              </w:rPr>
            </w:pPr>
            <w:r>
              <w:rPr>
                <w:rFonts w:hint="eastAsia"/>
                <w:color w:val="auto"/>
                <w:sz w:val="30"/>
                <w:szCs w:val="30"/>
              </w:rPr>
              <w:t xml:space="preserve"> </w:t>
            </w:r>
          </w:p>
        </w:tc>
      </w:tr>
      <w:tr w14:paraId="50DBD2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770" w:type="dxa"/>
            <w:noWrap w:val="0"/>
            <w:vAlign w:val="center"/>
          </w:tcPr>
          <w:p w14:paraId="6CD5465E">
            <w:pPr>
              <w:jc w:val="center"/>
              <w:rPr>
                <w:rFonts w:hint="eastAsia"/>
                <w:color w:val="auto"/>
                <w:sz w:val="30"/>
                <w:szCs w:val="30"/>
              </w:rPr>
            </w:pPr>
            <w:r>
              <w:rPr>
                <w:rFonts w:hint="eastAsia"/>
                <w:color w:val="auto"/>
                <w:sz w:val="30"/>
                <w:szCs w:val="30"/>
              </w:rPr>
              <w:t>供</w:t>
            </w:r>
            <w:r>
              <w:rPr>
                <w:color w:val="auto"/>
                <w:sz w:val="30"/>
                <w:szCs w:val="30"/>
              </w:rPr>
              <w:t>应商</w:t>
            </w:r>
            <w:r>
              <w:rPr>
                <w:rFonts w:hint="eastAsia"/>
                <w:color w:val="auto"/>
                <w:sz w:val="30"/>
                <w:szCs w:val="30"/>
              </w:rPr>
              <w:t>名称</w:t>
            </w:r>
          </w:p>
        </w:tc>
        <w:tc>
          <w:tcPr>
            <w:tcW w:w="6758" w:type="dxa"/>
            <w:gridSpan w:val="3"/>
            <w:noWrap w:val="0"/>
            <w:vAlign w:val="bottom"/>
          </w:tcPr>
          <w:p w14:paraId="586DCCDE">
            <w:pPr>
              <w:jc w:val="center"/>
              <w:rPr>
                <w:rFonts w:hint="eastAsia"/>
                <w:color w:val="auto"/>
                <w:sz w:val="30"/>
                <w:szCs w:val="30"/>
              </w:rPr>
            </w:pPr>
          </w:p>
          <w:p w14:paraId="70F369D0">
            <w:pPr>
              <w:jc w:val="center"/>
              <w:rPr>
                <w:rFonts w:hint="eastAsia"/>
                <w:color w:val="auto"/>
                <w:sz w:val="30"/>
                <w:szCs w:val="30"/>
              </w:rPr>
            </w:pPr>
          </w:p>
          <w:p w14:paraId="7965C6A6">
            <w:pPr>
              <w:jc w:val="center"/>
              <w:rPr>
                <w:rFonts w:hint="eastAsia"/>
                <w:color w:val="auto"/>
                <w:sz w:val="30"/>
                <w:szCs w:val="30"/>
              </w:rPr>
            </w:pPr>
          </w:p>
          <w:p w14:paraId="30E8ACB0">
            <w:pPr>
              <w:jc w:val="center"/>
              <w:rPr>
                <w:rFonts w:hint="eastAsia"/>
                <w:color w:val="auto"/>
                <w:sz w:val="30"/>
                <w:szCs w:val="30"/>
              </w:rPr>
            </w:pPr>
          </w:p>
          <w:p w14:paraId="2B1C8706">
            <w:pPr>
              <w:jc w:val="right"/>
              <w:rPr>
                <w:rFonts w:hint="eastAsia"/>
                <w:color w:val="auto"/>
                <w:sz w:val="30"/>
                <w:szCs w:val="30"/>
              </w:rPr>
            </w:pPr>
            <w:r>
              <w:rPr>
                <w:rFonts w:hint="eastAsia"/>
                <w:color w:val="auto"/>
                <w:sz w:val="30"/>
                <w:szCs w:val="30"/>
              </w:rPr>
              <w:t>（供应商公章）</w:t>
            </w:r>
          </w:p>
        </w:tc>
      </w:tr>
      <w:tr w14:paraId="57A0BF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770" w:type="dxa"/>
            <w:noWrap w:val="0"/>
            <w:vAlign w:val="center"/>
          </w:tcPr>
          <w:p w14:paraId="2D1FD2A5">
            <w:pPr>
              <w:jc w:val="center"/>
              <w:rPr>
                <w:rFonts w:hint="eastAsia"/>
                <w:color w:val="auto"/>
                <w:sz w:val="30"/>
                <w:szCs w:val="30"/>
              </w:rPr>
            </w:pPr>
            <w:r>
              <w:rPr>
                <w:rFonts w:hint="eastAsia"/>
                <w:color w:val="auto"/>
                <w:sz w:val="30"/>
                <w:szCs w:val="30"/>
              </w:rPr>
              <w:t>联系人</w:t>
            </w:r>
          </w:p>
        </w:tc>
        <w:tc>
          <w:tcPr>
            <w:tcW w:w="1882" w:type="dxa"/>
            <w:noWrap w:val="0"/>
            <w:vAlign w:val="center"/>
          </w:tcPr>
          <w:p w14:paraId="510BCBDB">
            <w:pPr>
              <w:jc w:val="left"/>
              <w:rPr>
                <w:rFonts w:hint="eastAsia"/>
                <w:color w:val="auto"/>
                <w:sz w:val="30"/>
                <w:szCs w:val="30"/>
              </w:rPr>
            </w:pPr>
          </w:p>
        </w:tc>
        <w:tc>
          <w:tcPr>
            <w:tcW w:w="1302" w:type="dxa"/>
            <w:noWrap w:val="0"/>
            <w:vAlign w:val="center"/>
          </w:tcPr>
          <w:p w14:paraId="1DFE0752">
            <w:pPr>
              <w:jc w:val="center"/>
              <w:rPr>
                <w:rFonts w:hint="eastAsia"/>
                <w:color w:val="auto"/>
                <w:sz w:val="30"/>
                <w:szCs w:val="30"/>
              </w:rPr>
            </w:pPr>
            <w:r>
              <w:rPr>
                <w:rFonts w:hint="eastAsia"/>
                <w:color w:val="auto"/>
                <w:sz w:val="30"/>
                <w:szCs w:val="30"/>
              </w:rPr>
              <w:t>手机</w:t>
            </w:r>
          </w:p>
        </w:tc>
        <w:tc>
          <w:tcPr>
            <w:tcW w:w="3574" w:type="dxa"/>
            <w:noWrap w:val="0"/>
            <w:vAlign w:val="center"/>
          </w:tcPr>
          <w:p w14:paraId="046D4499">
            <w:pPr>
              <w:jc w:val="left"/>
              <w:rPr>
                <w:rFonts w:hint="eastAsia"/>
                <w:color w:val="auto"/>
                <w:sz w:val="30"/>
                <w:szCs w:val="30"/>
              </w:rPr>
            </w:pPr>
          </w:p>
        </w:tc>
      </w:tr>
      <w:tr w14:paraId="6AFA23B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770" w:type="dxa"/>
            <w:noWrap w:val="0"/>
            <w:vAlign w:val="center"/>
          </w:tcPr>
          <w:p w14:paraId="6097E5CF">
            <w:pPr>
              <w:jc w:val="center"/>
              <w:rPr>
                <w:rFonts w:hint="eastAsia"/>
                <w:color w:val="auto"/>
                <w:sz w:val="30"/>
                <w:szCs w:val="30"/>
              </w:rPr>
            </w:pPr>
            <w:r>
              <w:rPr>
                <w:rFonts w:hint="eastAsia"/>
                <w:color w:val="auto"/>
                <w:sz w:val="30"/>
                <w:szCs w:val="30"/>
              </w:rPr>
              <w:t>办公电话</w:t>
            </w:r>
          </w:p>
        </w:tc>
        <w:tc>
          <w:tcPr>
            <w:tcW w:w="1882" w:type="dxa"/>
            <w:noWrap w:val="0"/>
            <w:vAlign w:val="center"/>
          </w:tcPr>
          <w:p w14:paraId="0B5579B1">
            <w:pPr>
              <w:jc w:val="left"/>
              <w:rPr>
                <w:color w:val="auto"/>
                <w:sz w:val="30"/>
                <w:szCs w:val="30"/>
              </w:rPr>
            </w:pPr>
          </w:p>
          <w:p w14:paraId="7F63B464">
            <w:pPr>
              <w:jc w:val="left"/>
              <w:rPr>
                <w:rFonts w:hint="eastAsia"/>
                <w:color w:val="auto"/>
                <w:sz w:val="30"/>
                <w:szCs w:val="30"/>
              </w:rPr>
            </w:pPr>
          </w:p>
        </w:tc>
        <w:tc>
          <w:tcPr>
            <w:tcW w:w="1302" w:type="dxa"/>
            <w:noWrap w:val="0"/>
            <w:vAlign w:val="center"/>
          </w:tcPr>
          <w:p w14:paraId="11EF6541">
            <w:pPr>
              <w:jc w:val="center"/>
              <w:rPr>
                <w:rFonts w:hint="eastAsia"/>
                <w:color w:val="auto"/>
                <w:sz w:val="30"/>
                <w:szCs w:val="30"/>
              </w:rPr>
            </w:pPr>
            <w:r>
              <w:rPr>
                <w:rFonts w:hint="eastAsia"/>
                <w:color w:val="auto"/>
                <w:sz w:val="30"/>
                <w:szCs w:val="30"/>
              </w:rPr>
              <w:t>传真</w:t>
            </w:r>
          </w:p>
        </w:tc>
        <w:tc>
          <w:tcPr>
            <w:tcW w:w="3574" w:type="dxa"/>
            <w:noWrap w:val="0"/>
            <w:vAlign w:val="center"/>
          </w:tcPr>
          <w:p w14:paraId="2BF68EAB">
            <w:pPr>
              <w:jc w:val="left"/>
              <w:rPr>
                <w:rFonts w:hint="eastAsia"/>
                <w:color w:val="auto"/>
                <w:sz w:val="30"/>
                <w:szCs w:val="30"/>
              </w:rPr>
            </w:pPr>
          </w:p>
        </w:tc>
      </w:tr>
      <w:tr w14:paraId="768CA2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770" w:type="dxa"/>
            <w:noWrap w:val="0"/>
            <w:vAlign w:val="center"/>
          </w:tcPr>
          <w:p w14:paraId="53A111A0">
            <w:pPr>
              <w:jc w:val="center"/>
              <w:rPr>
                <w:rFonts w:hint="eastAsia"/>
                <w:color w:val="auto"/>
                <w:sz w:val="30"/>
                <w:szCs w:val="30"/>
              </w:rPr>
            </w:pPr>
            <w:r>
              <w:rPr>
                <w:rFonts w:hint="eastAsia"/>
                <w:color w:val="auto"/>
                <w:sz w:val="30"/>
                <w:szCs w:val="30"/>
              </w:rPr>
              <w:t>E-mail</w:t>
            </w:r>
          </w:p>
        </w:tc>
        <w:tc>
          <w:tcPr>
            <w:tcW w:w="6758" w:type="dxa"/>
            <w:gridSpan w:val="3"/>
            <w:noWrap w:val="0"/>
            <w:vAlign w:val="center"/>
          </w:tcPr>
          <w:p w14:paraId="7AD4A2E6">
            <w:pPr>
              <w:jc w:val="left"/>
              <w:rPr>
                <w:color w:val="auto"/>
                <w:sz w:val="30"/>
                <w:szCs w:val="30"/>
              </w:rPr>
            </w:pPr>
          </w:p>
          <w:p w14:paraId="22D484B4">
            <w:pPr>
              <w:jc w:val="left"/>
              <w:rPr>
                <w:color w:val="auto"/>
                <w:sz w:val="30"/>
                <w:szCs w:val="30"/>
              </w:rPr>
            </w:pPr>
          </w:p>
          <w:p w14:paraId="6FA137ED">
            <w:pPr>
              <w:jc w:val="left"/>
              <w:rPr>
                <w:rFonts w:hint="eastAsia"/>
                <w:color w:val="auto"/>
                <w:sz w:val="30"/>
                <w:szCs w:val="30"/>
              </w:rPr>
            </w:pPr>
          </w:p>
        </w:tc>
      </w:tr>
      <w:tr w14:paraId="610484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70" w:type="dxa"/>
            <w:noWrap w:val="0"/>
            <w:vAlign w:val="center"/>
          </w:tcPr>
          <w:p w14:paraId="4B66F00E">
            <w:pPr>
              <w:jc w:val="center"/>
              <w:rPr>
                <w:rFonts w:hint="eastAsia"/>
                <w:color w:val="auto"/>
                <w:sz w:val="30"/>
                <w:szCs w:val="30"/>
              </w:rPr>
            </w:pPr>
            <w:r>
              <w:rPr>
                <w:rFonts w:hint="eastAsia"/>
                <w:color w:val="auto"/>
                <w:sz w:val="30"/>
                <w:szCs w:val="30"/>
              </w:rPr>
              <w:t>单位地址</w:t>
            </w:r>
          </w:p>
        </w:tc>
        <w:tc>
          <w:tcPr>
            <w:tcW w:w="6758" w:type="dxa"/>
            <w:gridSpan w:val="3"/>
            <w:noWrap w:val="0"/>
            <w:vAlign w:val="center"/>
          </w:tcPr>
          <w:p w14:paraId="4BD2F2EC">
            <w:pPr>
              <w:jc w:val="left"/>
              <w:rPr>
                <w:color w:val="auto"/>
                <w:sz w:val="30"/>
                <w:szCs w:val="30"/>
              </w:rPr>
            </w:pPr>
          </w:p>
          <w:p w14:paraId="50658F87">
            <w:pPr>
              <w:jc w:val="left"/>
              <w:rPr>
                <w:color w:val="auto"/>
                <w:sz w:val="30"/>
                <w:szCs w:val="30"/>
              </w:rPr>
            </w:pPr>
          </w:p>
          <w:p w14:paraId="04483C5D">
            <w:pPr>
              <w:jc w:val="left"/>
              <w:rPr>
                <w:color w:val="auto"/>
                <w:sz w:val="30"/>
                <w:szCs w:val="30"/>
              </w:rPr>
            </w:pPr>
          </w:p>
          <w:p w14:paraId="74F57BF5">
            <w:pPr>
              <w:jc w:val="left"/>
              <w:rPr>
                <w:color w:val="auto"/>
                <w:sz w:val="30"/>
                <w:szCs w:val="30"/>
              </w:rPr>
            </w:pPr>
          </w:p>
          <w:p w14:paraId="7BF40155">
            <w:pPr>
              <w:jc w:val="left"/>
              <w:rPr>
                <w:rFonts w:hint="eastAsia"/>
                <w:color w:val="auto"/>
                <w:sz w:val="30"/>
                <w:szCs w:val="30"/>
              </w:rPr>
            </w:pPr>
          </w:p>
          <w:p w14:paraId="20904D83">
            <w:pPr>
              <w:jc w:val="left"/>
              <w:rPr>
                <w:rFonts w:hint="eastAsia"/>
                <w:color w:val="auto"/>
                <w:sz w:val="30"/>
                <w:szCs w:val="30"/>
              </w:rPr>
            </w:pPr>
          </w:p>
        </w:tc>
      </w:tr>
      <w:tr w14:paraId="143C55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770" w:type="dxa"/>
            <w:noWrap w:val="0"/>
            <w:vAlign w:val="center"/>
          </w:tcPr>
          <w:p w14:paraId="6BA15D0A">
            <w:pPr>
              <w:jc w:val="center"/>
              <w:rPr>
                <w:rFonts w:hint="eastAsia"/>
                <w:color w:val="auto"/>
                <w:sz w:val="30"/>
                <w:szCs w:val="30"/>
              </w:rPr>
            </w:pPr>
            <w:r>
              <w:rPr>
                <w:rFonts w:hint="eastAsia"/>
                <w:color w:val="auto"/>
                <w:sz w:val="30"/>
                <w:szCs w:val="30"/>
              </w:rPr>
              <w:t>递交时间</w:t>
            </w:r>
          </w:p>
        </w:tc>
        <w:tc>
          <w:tcPr>
            <w:tcW w:w="6758" w:type="dxa"/>
            <w:gridSpan w:val="3"/>
            <w:noWrap w:val="0"/>
            <w:vAlign w:val="center"/>
          </w:tcPr>
          <w:p w14:paraId="3743A7E9">
            <w:pPr>
              <w:jc w:val="center"/>
              <w:rPr>
                <w:rFonts w:hint="eastAsia"/>
                <w:color w:val="auto"/>
                <w:sz w:val="30"/>
                <w:szCs w:val="30"/>
              </w:rPr>
            </w:pPr>
            <w:r>
              <w:rPr>
                <w:rFonts w:hint="eastAsia"/>
                <w:color w:val="auto"/>
                <w:sz w:val="30"/>
                <w:szCs w:val="30"/>
              </w:rPr>
              <w:t>年   月   日</w:t>
            </w:r>
          </w:p>
        </w:tc>
      </w:tr>
      <w:tr w14:paraId="5FDA77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770" w:type="dxa"/>
            <w:noWrap w:val="0"/>
            <w:vAlign w:val="center"/>
          </w:tcPr>
          <w:p w14:paraId="26DD86A3">
            <w:pPr>
              <w:jc w:val="center"/>
              <w:rPr>
                <w:rFonts w:hint="eastAsia"/>
                <w:color w:val="auto"/>
                <w:sz w:val="30"/>
                <w:szCs w:val="30"/>
              </w:rPr>
            </w:pPr>
            <w:r>
              <w:rPr>
                <w:rFonts w:hint="eastAsia"/>
                <w:color w:val="auto"/>
                <w:sz w:val="30"/>
                <w:szCs w:val="30"/>
              </w:rPr>
              <w:t>备注</w:t>
            </w:r>
          </w:p>
        </w:tc>
        <w:tc>
          <w:tcPr>
            <w:tcW w:w="6758" w:type="dxa"/>
            <w:gridSpan w:val="3"/>
            <w:noWrap w:val="0"/>
            <w:vAlign w:val="center"/>
          </w:tcPr>
          <w:p w14:paraId="0601112E">
            <w:pPr>
              <w:jc w:val="center"/>
              <w:rPr>
                <w:color w:val="auto"/>
                <w:sz w:val="30"/>
                <w:szCs w:val="30"/>
              </w:rPr>
            </w:pPr>
          </w:p>
          <w:p w14:paraId="5CB6D707">
            <w:pPr>
              <w:jc w:val="center"/>
              <w:rPr>
                <w:color w:val="auto"/>
                <w:sz w:val="30"/>
                <w:szCs w:val="30"/>
              </w:rPr>
            </w:pPr>
          </w:p>
          <w:p w14:paraId="493A1341">
            <w:pPr>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购本项目标书</w:t>
            </w:r>
            <w:r>
              <w:rPr>
                <w:rFonts w:hint="eastAsia" w:ascii="宋体" w:hAnsi="宋体" w:eastAsia="宋体" w:cs="宋体"/>
                <w:b/>
                <w:bCs/>
                <w:color w:val="auto"/>
                <w:sz w:val="30"/>
                <w:szCs w:val="30"/>
                <w:highlight w:val="none"/>
                <w:u w:val="single"/>
              </w:rPr>
              <w:t xml:space="preserve"> 1  </w:t>
            </w:r>
            <w:r>
              <w:rPr>
                <w:rFonts w:hint="eastAsia" w:ascii="宋体" w:hAnsi="宋体" w:eastAsia="宋体" w:cs="宋体"/>
                <w:b/>
                <w:bCs/>
                <w:color w:val="auto"/>
                <w:sz w:val="30"/>
                <w:szCs w:val="30"/>
                <w:highlight w:val="none"/>
              </w:rPr>
              <w:t>份，共计</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5</w:t>
            </w:r>
            <w:r>
              <w:rPr>
                <w:rFonts w:hint="eastAsia" w:ascii="宋体" w:hAnsi="宋体" w:eastAsia="宋体" w:cs="宋体"/>
                <w:b/>
                <w:bCs/>
                <w:color w:val="auto"/>
                <w:sz w:val="30"/>
                <w:szCs w:val="30"/>
                <w:highlight w:val="none"/>
                <w:u w:val="single"/>
              </w:rPr>
              <w:t xml:space="preserve">00   </w:t>
            </w:r>
            <w:r>
              <w:rPr>
                <w:rFonts w:hint="eastAsia" w:ascii="宋体" w:hAnsi="宋体" w:eastAsia="宋体" w:cs="宋体"/>
                <w:b/>
                <w:bCs/>
                <w:color w:val="auto"/>
                <w:sz w:val="30"/>
                <w:szCs w:val="30"/>
                <w:highlight w:val="none"/>
              </w:rPr>
              <w:t>元。</w:t>
            </w:r>
          </w:p>
          <w:p w14:paraId="747DEDDB">
            <w:pPr>
              <w:jc w:val="center"/>
              <w:rPr>
                <w:color w:val="auto"/>
                <w:sz w:val="30"/>
                <w:szCs w:val="30"/>
              </w:rPr>
            </w:pPr>
          </w:p>
          <w:p w14:paraId="2F9A87A8">
            <w:pPr>
              <w:jc w:val="center"/>
              <w:rPr>
                <w:color w:val="auto"/>
                <w:sz w:val="30"/>
                <w:szCs w:val="30"/>
              </w:rPr>
            </w:pPr>
          </w:p>
          <w:p w14:paraId="5688C0D6">
            <w:pPr>
              <w:jc w:val="center"/>
              <w:rPr>
                <w:rFonts w:hint="eastAsia"/>
                <w:color w:val="auto"/>
                <w:sz w:val="30"/>
                <w:szCs w:val="30"/>
              </w:rPr>
            </w:pPr>
          </w:p>
          <w:p w14:paraId="22974470">
            <w:pPr>
              <w:jc w:val="center"/>
              <w:rPr>
                <w:color w:val="auto"/>
                <w:sz w:val="30"/>
                <w:szCs w:val="30"/>
              </w:rPr>
            </w:pPr>
          </w:p>
          <w:p w14:paraId="58FD037D">
            <w:pPr>
              <w:jc w:val="center"/>
              <w:rPr>
                <w:rFonts w:hint="eastAsia"/>
                <w:color w:val="auto"/>
                <w:sz w:val="30"/>
                <w:szCs w:val="30"/>
              </w:rPr>
            </w:pPr>
          </w:p>
        </w:tc>
      </w:tr>
    </w:tbl>
    <w:p w14:paraId="498344A2">
      <w:pPr>
        <w:snapToGrid w:val="0"/>
        <w:spacing w:line="4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若需开发票请将开票信息发送至邮箱</w:t>
      </w:r>
      <w:r>
        <w:rPr>
          <w:rFonts w:hint="eastAsia" w:ascii="宋体" w:hAnsi="宋体" w:eastAsia="宋体" w:cs="宋体"/>
          <w:b/>
          <w:bCs/>
          <w:color w:val="auto"/>
          <w:sz w:val="24"/>
          <w:szCs w:val="24"/>
          <w:highlight w:val="none"/>
          <w:lang w:val="en-US" w:eastAsia="zh-CN"/>
        </w:rPr>
        <w:t>3782292406@qq.com</w:t>
      </w:r>
    </w:p>
    <w:p w14:paraId="3ED2C751">
      <w:pPr>
        <w:snapToGrid w:val="0"/>
        <w:spacing w:line="400" w:lineRule="exact"/>
        <w:ind w:firstLine="480" w:firstLineChars="200"/>
        <w:rPr>
          <w:rFonts w:hint="eastAsia" w:ascii="方正仿宋_GBK" w:hAnsi="宋体" w:eastAsia="方正仿宋_GBK"/>
          <w:color w:val="auto"/>
          <w:sz w:val="24"/>
          <w:szCs w:val="24"/>
        </w:rPr>
      </w:pPr>
    </w:p>
    <w:p w14:paraId="1F397DAF">
      <w:pPr>
        <w:snapToGrid w:val="0"/>
        <w:spacing w:line="400" w:lineRule="exact"/>
        <w:ind w:firstLine="480" w:firstLineChars="200"/>
        <w:rPr>
          <w:rFonts w:hint="eastAsia" w:ascii="方正仿宋_GBK" w:hAnsi="宋体" w:eastAsia="方正仿宋_GBK"/>
          <w:color w:val="auto"/>
          <w:sz w:val="24"/>
          <w:szCs w:val="24"/>
        </w:rPr>
      </w:pPr>
    </w:p>
    <w:p w14:paraId="5A0B4B77">
      <w:pPr>
        <w:snapToGrid w:val="0"/>
        <w:spacing w:line="400" w:lineRule="exact"/>
        <w:ind w:firstLine="482" w:firstLineChars="200"/>
        <w:rPr>
          <w:rFonts w:hint="eastAsia" w:ascii="宋体" w:hAnsi="宋体"/>
          <w:b/>
          <w:color w:val="auto"/>
          <w:sz w:val="24"/>
          <w:szCs w:val="24"/>
        </w:rPr>
        <w:sectPr>
          <w:pgSz w:w="11907" w:h="16840"/>
          <w:pgMar w:top="1134" w:right="1418" w:bottom="1134" w:left="1418" w:header="964" w:footer="992" w:gutter="0"/>
          <w:pgNumType w:fmt="numberInDash"/>
          <w:cols w:space="720" w:num="1"/>
          <w:docGrid w:linePitch="312" w:charSpace="0"/>
        </w:sectPr>
      </w:pPr>
    </w:p>
    <w:p w14:paraId="35C4F50A">
      <w:pPr>
        <w:pStyle w:val="3"/>
        <w:spacing w:before="0" w:after="0" w:line="360" w:lineRule="auto"/>
        <w:jc w:val="center"/>
        <w:rPr>
          <w:rFonts w:hint="eastAsia" w:ascii="方正小标宋_GBK" w:hAnsi="宋体" w:eastAsia="方正小标宋_GBK" w:cs="Times New Roman"/>
          <w:b w:val="0"/>
          <w:bCs/>
          <w:color w:val="auto"/>
          <w:sz w:val="36"/>
          <w:szCs w:val="30"/>
          <w:highlight w:val="none"/>
          <w:lang w:eastAsia="zh-CN"/>
        </w:rPr>
      </w:pPr>
      <w:bookmarkStart w:id="34" w:name="_Toc15240"/>
      <w:r>
        <w:rPr>
          <w:rFonts w:hint="eastAsia" w:ascii="方正小标宋_GBK" w:hAnsi="宋体" w:eastAsia="方正小标宋_GBK" w:cs="Times New Roman"/>
          <w:b w:val="0"/>
          <w:bCs/>
          <w:color w:val="auto"/>
          <w:sz w:val="36"/>
          <w:szCs w:val="30"/>
          <w:highlight w:val="none"/>
          <w:lang w:val="en-US" w:eastAsia="zh-CN"/>
        </w:rPr>
        <w:t>第二篇</w:t>
      </w:r>
      <w:r>
        <w:rPr>
          <w:rFonts w:hint="eastAsia" w:ascii="方正小标宋_GBK" w:hAnsi="宋体" w:eastAsia="方正小标宋_GBK" w:cs="Times New Roman"/>
          <w:b w:val="0"/>
          <w:bCs/>
          <w:color w:val="auto"/>
          <w:sz w:val="36"/>
          <w:szCs w:val="30"/>
          <w:highlight w:val="none"/>
        </w:rPr>
        <w:t xml:space="preserve"> 项目服务需求</w:t>
      </w:r>
      <w:bookmarkEnd w:id="32"/>
      <w:bookmarkEnd w:id="33"/>
      <w:bookmarkEnd w:id="34"/>
    </w:p>
    <w:p w14:paraId="3E2F6AEE">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lang w:eastAsia="zh-CN"/>
        </w:rPr>
      </w:pPr>
      <w:bookmarkStart w:id="35" w:name="_Toc106030879"/>
      <w:bookmarkStart w:id="36" w:name="_Toc76462325"/>
      <w:bookmarkStart w:id="37" w:name="_Toc23555"/>
      <w:bookmarkStart w:id="38" w:name="_Toc12789058"/>
      <w:r>
        <w:rPr>
          <w:rFonts w:hint="eastAsia" w:ascii="方正仿宋_GBK" w:hAnsi="宋体" w:eastAsia="方正仿宋_GBK"/>
          <w:color w:val="auto"/>
          <w:sz w:val="24"/>
          <w:highlight w:val="none"/>
        </w:rPr>
        <w:t>一、</w:t>
      </w:r>
      <w:bookmarkEnd w:id="35"/>
      <w:bookmarkEnd w:id="36"/>
      <w:r>
        <w:rPr>
          <w:rFonts w:hint="eastAsia" w:ascii="方正仿宋_GBK" w:hAnsi="宋体" w:eastAsia="方正仿宋_GBK"/>
          <w:color w:val="auto"/>
          <w:sz w:val="24"/>
          <w:highlight w:val="none"/>
        </w:rPr>
        <w:t>项目基本概况介绍</w:t>
      </w:r>
      <w:bookmarkEnd w:id="37"/>
    </w:p>
    <w:p w14:paraId="2B9F0B96">
      <w:pPr>
        <w:spacing w:line="400" w:lineRule="exact"/>
        <w:ind w:firstLine="480" w:firstLineChars="200"/>
        <w:rPr>
          <w:rFonts w:hint="eastAsia" w:ascii="方正仿宋_GBK" w:hAnsi="方正楷体_GBK" w:eastAsia="方正仿宋_GBK" w:cs="方正楷体_GBK"/>
          <w:bCs/>
          <w:color w:val="auto"/>
          <w:sz w:val="24"/>
          <w:highlight w:val="none"/>
        </w:rPr>
      </w:pPr>
      <w:r>
        <w:rPr>
          <w:rFonts w:hint="eastAsia" w:ascii="方正仿宋_GBK" w:hAnsi="方正楷体_GBK" w:eastAsia="方正仿宋_GBK" w:cs="方正楷体_GBK"/>
          <w:bCs/>
          <w:color w:val="auto"/>
          <w:sz w:val="24"/>
          <w:highlight w:val="none"/>
        </w:rPr>
        <w:t>本项目旨在以软件服务无缝嵌入方式，将“文体促消费”专属场景（以下简称专属场景）深度集成至重庆市总市总工会官方渝快政“渝工娘家人”平台（含APP、微信小程序端），无需工会会员额外下载安装应用，实现“渝工娘家人”会员体系与专属场景的无缝互通、权限同步、数据协同。</w:t>
      </w:r>
    </w:p>
    <w:p w14:paraId="55133095">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39" w:name="_Toc14799"/>
      <w:r>
        <w:rPr>
          <w:rFonts w:hint="eastAsia" w:ascii="方正仿宋_GBK" w:hAnsi="宋体" w:eastAsia="方正仿宋_GBK"/>
          <w:color w:val="auto"/>
          <w:sz w:val="24"/>
          <w:highlight w:val="none"/>
        </w:rPr>
        <w:t>二、</w:t>
      </w:r>
      <w:r>
        <w:rPr>
          <w:rFonts w:hint="eastAsia" w:ascii="方正仿宋_GBK" w:hAnsi="宋体" w:eastAsia="方正仿宋_GBK"/>
          <w:color w:val="auto"/>
          <w:sz w:val="24"/>
          <w:highlight w:val="none"/>
          <w:lang w:eastAsia="zh-CN"/>
        </w:rPr>
        <w:t>项目</w:t>
      </w:r>
      <w:r>
        <w:rPr>
          <w:rFonts w:hint="eastAsia" w:ascii="方正仿宋_GBK" w:hAnsi="宋体" w:eastAsia="方正仿宋_GBK"/>
          <w:color w:val="auto"/>
          <w:sz w:val="24"/>
          <w:highlight w:val="none"/>
        </w:rPr>
        <w:t>具体内容</w:t>
      </w:r>
      <w:bookmarkEnd w:id="39"/>
    </w:p>
    <w:p w14:paraId="2CCD773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系统采用“底层支撑+上层业务适配+市总工会平台嵌入”的分层架构，充分复用“文体促消费”专属场景服务功能，功能须具备营销引擎、商户管理、资金清算、风控合规等核心能力，配套实现与“渝工娘家人”平台的无缝集成，整体架构分为六层，配套贯穿全链路的安全防护体系与运维保障体系，确保系统高可用、高安全、易扩展。</w:t>
      </w:r>
    </w:p>
    <w:p w14:paraId="43A4170C">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（一） 系统功能模块</w:t>
      </w:r>
    </w:p>
    <w:p w14:paraId="55AB6C36">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围绕消费券全生命周期管理，结合市总工会活动需求进行定制化适配，构建闭环功能模块，核心覆盖用户要求的实名认证、商户入驻、资金兑付三大核心模块，配套完善的业务管控能力，所有核心功能依托“文体促消费”专属场景底层能力实现，避免重复开发。</w:t>
      </w:r>
    </w:p>
    <w:p w14:paraId="71812A7D">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3.1.1 平台集成模块</w:t>
      </w:r>
    </w:p>
    <w:p w14:paraId="3046D5AF">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作为嵌入“渝工娘家人”平台的基础底座模块，专属场景需与现有市总工会平台深度打通：</w:t>
      </w:r>
    </w:p>
    <w:p w14:paraId="577D42A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统一入口集成，以H5方式嵌入“渝快办”APP内的“渝工娘家人”平台，实现入口统一、UI风格统一，会员全程在市总工会官方体系内完成操作，无需跳转第三方平台。数据接口回传，专属场景中产生的消费数据、分析数据回传至“渝工娘家人”平台底座。</w:t>
      </w:r>
    </w:p>
    <w:p w14:paraId="0EE3618D">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3.1.2 实名认证模块</w:t>
      </w:r>
    </w:p>
    <w:p w14:paraId="7E2B1033">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专属场景的实名核验接口，需构建覆盖职工端、商户端的全场景实名认证体系，从源头防范违规风险，具备成熟的核验能力，提升核验效率与安全性。</w:t>
      </w:r>
    </w:p>
    <w:p w14:paraId="60B0C904">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一是用户端实名认证，同步复用“渝工娘家人”现有实名核验结果，完成会员姓名、身份证号、银行卡、电话号信息的多要素校验，确保消费券领取人为本人实名注册的市总工会会员且绑定本人银行卡，限制非会员、非实名用户参与活动，支持API与H5两种核验模式。</w:t>
      </w:r>
    </w:p>
    <w:p w14:paraId="5C7A3B1D">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二是商户端实名认证，专属场景需具备对商户营业执照、统一社会信用代码、法人身份证、对公账户的多要素核验。</w:t>
      </w:r>
    </w:p>
    <w:p w14:paraId="2DB8D3D2">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三是实名信息合规管理，专属场景需严格遵循个人信息保护要求及数据安全规范，实现实名数据、银行卡信息的加密存储、脱敏展示、权限管控，仅用于业务合规核验，不泄露、不滥用用户信息，符合数据安全管理标准。</w:t>
      </w:r>
    </w:p>
    <w:p w14:paraId="06F69323">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3.1.3 商户入驻与管理模块</w:t>
      </w:r>
    </w:p>
    <w:p w14:paraId="3590FBD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专属场景提供方具备商户入网的核心能力，实现文体类商户入驻、全生命周期管理，严格落实市总工会商户准入要求。</w:t>
      </w:r>
    </w:p>
    <w:p w14:paraId="151FC9B2">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一是自主入驻流程，提供商户端线上入驻入口，支持商户填写基础信息、上传经营资质（营业执照、文体经营相关许可证、法人身份证明、门店信息等），支持POS商户快捷开通条码核销业务。</w:t>
      </w:r>
    </w:p>
    <w:p w14:paraId="26F9B03A">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二是全维度商户管理，专属场景支持商户信息维护、门店管理、核销人员/权限配置、服务范围管理；支持商户核销数据实时查询、对账明细查询、兑付申请提交；配置黑白名单管理机制，对违规商户可限制核销、纳入黑名单，保障活动合规。</w:t>
      </w:r>
    </w:p>
    <w:p w14:paraId="7F7D1383">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3.1.4 消费券全生命周期管理模块</w:t>
      </w:r>
    </w:p>
    <w:p w14:paraId="5EE7B79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消费券发放功能需支持多种优惠模式，适配市总工会活动需求。</w:t>
      </w:r>
    </w:p>
    <w:p w14:paraId="1A875D1D">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 一是券模板灵活配置，需支持按市总工会要求配置消费券规则，包括券类型（固定满减券、折扣券、一口价等）、面额、满减门槛、使用范围、发放总量、发放批次、领取规则、有效期、核销规则等，无需代码开发通过基础配置，快速适配不同活动需求。</w:t>
      </w:r>
    </w:p>
    <w:p w14:paraId="2580176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二是多模式发放管理，需支持通用抢券（定时开放、先到先得）、定向发放（针对一线职工、困难职工、劳模等特定群体精准推送）等多种发放方式，满足市总工会差异化发放需求，可实时监控活动剩余名额与优惠使用情况。</w:t>
      </w:r>
    </w:p>
    <w:p w14:paraId="483FA133">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三是领取与核销管理，会员可在嵌入专区一键领取消费券，查看券包、使用规则、可用商户、核销记录；线下消费时，商户通过POS机、扫码等方式完成核销，系统实时调用核销接口，核验券有效性与卡支付状态，核销成功后实时更新券状态、核销数据。</w:t>
      </w:r>
    </w:p>
    <w:p w14:paraId="17F00AF1">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四是全状态管控，实现消费券“待发放-已发放-已领取-已核销-已过期-已作废”全状态实时监控、可查可溯，专属场景支持对异常券进行作废、撤回、补发等操作，确保消费券使用合规，保障发放过程全程可控。</w:t>
      </w:r>
    </w:p>
    <w:p w14:paraId="122BD09D">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3.1.5 资金管理与兑付结算模块</w:t>
      </w:r>
    </w:p>
    <w:p w14:paraId="2B4CA629">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严格遵循市总工会财务资金管理规定，专属场景提供方自建（或已对接）有清算系统，实现资金全流程闭环管控、合规兑付，确保资金安全高效。</w:t>
      </w:r>
    </w:p>
    <w:p w14:paraId="43B6979D">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一是资金池与预算管控，需支持市总工会配置活动总预算、分批次资金额度，具备额度管控、超支预警等功能，确保资金使用不超预算；专属场景提供方具有监管账户，确保资金专户管理、专款专用，遵循资金管理规范。</w:t>
      </w:r>
    </w:p>
    <w:p w14:paraId="6BF34D3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二是自动对账管理，专属场景需具备自动生成对账报表，匹配核销数据、交易数据、资金流水，实现账实相符；支持市总工会、商户、专属场景提供方三方对账，支持活动维度和商编维度财务对账报表下载，大幅降低人工对账成本。</w:t>
      </w:r>
    </w:p>
    <w:p w14:paraId="7C96BBB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三是兑付全流程线上化，专属场景提供方需将补贴资金同消费者支付的资金实时拨付至商户账户。同时要做好退货资金返还，消费券实施期间或资金清算后，消费者若发生退货，应按原渠道退货退款，退货时补贴资金应按原渠道退还政策执行单位。</w:t>
      </w:r>
    </w:p>
    <w:p w14:paraId="28C6A0EF">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四是资金追溯与审计支持，依托系统的交易追溯能力，实现每一笔资金从预算分配、发放、核销到兑付的全链路可追溯，自动生成资金使用报表、兑付明细报表，支持一键导出，满足市总工会审计、公示、监管要求，同时对接境内公共服务平台，可处理差错交易与争议案件。</w:t>
      </w:r>
    </w:p>
    <w:p w14:paraId="55A43AE6">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3.1.6 配套支撑模块</w:t>
      </w:r>
    </w:p>
    <w:p w14:paraId="71381A19">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一是数据统计与可视化模块,专属场景具备监控与报表能力，配置实时数据看板，展示发放总量、核销率、拉动消费金额、覆盖商户/会员数等核心指标，支持多维度统计分析，且明细数据、分析结果数据回传渝工娘家人平台；自动生成各类运营报表，满足市总工会汇报、审计需求，可实现单品消耗及汇总分析。</w:t>
      </w:r>
    </w:p>
    <w:p w14:paraId="7A1A20B5">
      <w:pPr>
        <w:spacing w:line="400" w:lineRule="exact"/>
        <w:ind w:firstLine="480" w:firstLineChars="200"/>
        <w:rPr>
          <w:rFonts w:ascii="仿宋_GB2312" w:hAnsi="仿宋_GB2312" w:cs="仿宋_GB2312"/>
          <w:color w:val="auto"/>
          <w:szCs w:val="32"/>
        </w:rPr>
      </w:pPr>
      <w:r>
        <w:rPr>
          <w:rFonts w:hint="eastAsia" w:ascii="方正仿宋_GBK" w:hAnsi="方正楷体_GBK" w:eastAsia="方正仿宋_GBK" w:cs="方正楷体_GBK"/>
          <w:bCs/>
          <w:color w:val="auto"/>
          <w:sz w:val="24"/>
          <w:highlight w:val="none"/>
          <w:lang w:val="en-US" w:eastAsia="zh-CN"/>
        </w:rPr>
        <w:t>二是风控合规管理模块，专属场景需支持多维度防“薅羊毛”规则，包括设备绑定、IP限制、领取频次限制、异常核销预警，自动拦截违规操作；需具有成熟的风险管理系统，能有效防范支付欺诈、虚假核销等风险。</w:t>
      </w:r>
    </w:p>
    <w:p w14:paraId="07892E09">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（二）系统架构图</w:t>
      </w:r>
    </w:p>
    <w:p w14:paraId="62605533">
      <w:pPr>
        <w:spacing w:line="400" w:lineRule="exact"/>
        <w:ind w:firstLine="560" w:firstLineChars="200"/>
        <w:rPr>
          <w:rFonts w:hint="eastAsia" w:ascii="方正仿宋_GBK" w:hAnsi="方正楷体_GBK" w:eastAsia="方正仿宋_GBK" w:cs="方正楷体_GBK"/>
          <w:bCs/>
          <w:color w:val="auto"/>
          <w:sz w:val="24"/>
          <w:highlight w:val="none"/>
          <w:lang w:val="en-US" w:eastAsia="zh-CN"/>
        </w:rPr>
      </w:pPr>
      <w:r>
        <w:rPr>
          <w:color w:val="auto"/>
        </w:rPr>
        <w:drawing>
          <wp:anchor distT="0" distB="0" distL="114300" distR="114300" simplePos="0" relativeHeight="251659264" behindDoc="0" locked="0" layoutInCell="1" allowOverlap="1">
            <wp:simplePos x="0" y="0"/>
            <wp:positionH relativeFrom="column">
              <wp:posOffset>629920</wp:posOffset>
            </wp:positionH>
            <wp:positionV relativeFrom="paragraph">
              <wp:posOffset>830580</wp:posOffset>
            </wp:positionV>
            <wp:extent cx="4760595" cy="2660650"/>
            <wp:effectExtent l="0" t="0" r="1905"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760595" cy="2660650"/>
                    </a:xfrm>
                    <a:prstGeom prst="rect">
                      <a:avLst/>
                    </a:prstGeom>
                    <a:noFill/>
                    <a:ln>
                      <a:noFill/>
                    </a:ln>
                  </pic:spPr>
                </pic:pic>
              </a:graphicData>
            </a:graphic>
          </wp:anchor>
        </w:drawing>
      </w:r>
      <w:r>
        <w:rPr>
          <w:rFonts w:hint="eastAsia" w:ascii="方正仿宋_GBK" w:hAnsi="方正楷体_GBK" w:eastAsia="方正仿宋_GBK" w:cs="方正楷体_GBK"/>
          <w:bCs/>
          <w:color w:val="auto"/>
          <w:sz w:val="24"/>
          <w:highlight w:val="none"/>
          <w:lang w:val="en-US" w:eastAsia="zh-CN"/>
        </w:rPr>
        <w:t>系统主要包括展示层、接口层、业务功能层、基础支撑层、数据资源层、基础设施层六层，架构图如下图所示：</w:t>
      </w:r>
    </w:p>
    <w:p w14:paraId="360BDE7F">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（三）系统能力</w:t>
      </w:r>
    </w:p>
    <w:p w14:paraId="726A1539">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3.3.1 高可用架构能力</w:t>
      </w:r>
    </w:p>
    <w:p w14:paraId="7E21B8D0">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专属场景需具备政务级高可用架构设计，核心服务可用性不低于到99.99%，确保活动持续稳定运行要求，无需额外搭建底层架构。</w:t>
      </w:r>
    </w:p>
    <w:p w14:paraId="20227A68">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 一是具备集群化与容灾设计，全服务节点依托私有云/公有云平台，采用多实例、多可用区集群部署，单节点故障不影响整体服务运行；支持同城双活、异地容灾备份，实现RTO≤5分钟，RPO≤1分钟，极端场景下快速恢复业务，云平台主备服务器1:1部署，保障底层稳定。</w:t>
      </w:r>
    </w:p>
    <w:p w14:paraId="5374BAE0">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二是具备弹性扩缩容能力，基于私有云/公有云原生架构，支持根据业务流量自动弹性扩缩容，抢券高峰期自动扩容计算资源应对流量突增，低峰期自动缩容降低资源成本，保障高峰期系统无卡顿、不崩溃，适配专属场景的并发处理能力。</w:t>
      </w:r>
    </w:p>
    <w:p w14:paraId="347366D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三是具备熔断与降级机制，具有全链路熔断、限流、降级机制，针对突发流量、异常请求，自动实现接口限流、非核心功能降级，优先保障消费券发放、核销、支付联动等核心功能稳定运行，避免系统雪崩。</w:t>
      </w:r>
    </w:p>
    <w:p w14:paraId="5CDD9857">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3.3.2 软硬件支撑能力</w:t>
      </w:r>
    </w:p>
    <w:p w14:paraId="084DB4D5">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软件技术栈方面，专属场景需具备成熟稳定的商用技术栈，确保系统稳定性、安全性与可扩展性，减少技术适配成本。</w:t>
      </w:r>
    </w:p>
    <w:p w14:paraId="2E0FAD48">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专属场景前端技术需适配H5轻量化嵌入需求，兼容“渝工娘家人”平台，保证页面加载速度与操作体验与原有平台一致，同时适配专属场景的H5验证页面的交互规范。</w:t>
      </w:r>
    </w:p>
    <w:p w14:paraId="1D0E8ECB">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专属场景后端架构需采用微服务分布式架构，按业务域拆分服务模块，实现解耦部署、灵活扩展，可快速适配后续业务迭代，对接API网关实现统一接入与权限管控。</w:t>
      </w:r>
    </w:p>
    <w:p w14:paraId="5DC46129">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专属场景数据库与缓存，需采用主从架构，实现读写分离，保障数据读写性能与可靠性；采用分布式缓存，提升高频访问数据响应速度，且必须为国产信创产品。</w:t>
      </w:r>
    </w:p>
    <w:p w14:paraId="71A300EF">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专属场景的中间件组件需采用分布式消息队列，实现高并发场景下请求削峰填谷；采用分布式事务组件，保障资金、核销操作的数据一致性。</w:t>
      </w:r>
    </w:p>
    <w:p w14:paraId="0259F137">
      <w:pPr>
        <w:spacing w:line="400" w:lineRule="exact"/>
        <w:ind w:firstLine="480" w:firstLineChars="200"/>
        <w:rPr>
          <w:rFonts w:hint="eastAsia" w:ascii="仿宋_GB2312" w:hAnsi="仿宋_GB2312" w:cs="仿宋_GB2312"/>
          <w:color w:val="auto"/>
          <w:szCs w:val="32"/>
        </w:rPr>
      </w:pPr>
      <w:r>
        <w:rPr>
          <w:rFonts w:hint="eastAsia" w:ascii="方正仿宋_GBK" w:hAnsi="方正楷体_GBK" w:eastAsia="方正仿宋_GBK" w:cs="方正楷体_GBK"/>
          <w:bCs/>
          <w:color w:val="auto"/>
          <w:sz w:val="24"/>
          <w:highlight w:val="none"/>
          <w:lang w:val="en-US" w:eastAsia="zh-CN"/>
        </w:rPr>
        <w:t>硬件资源配置方面，专属场景的配置需满足不低于以下配置的要求。</w:t>
      </w:r>
    </w:p>
    <w:tbl>
      <w:tblPr>
        <w:tblStyle w:val="59"/>
        <w:tblW w:w="8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2746"/>
        <w:gridCol w:w="1014"/>
        <w:gridCol w:w="3075"/>
      </w:tblGrid>
      <w:tr w14:paraId="76B6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42" w:type="dxa"/>
            <w:noWrap w:val="0"/>
            <w:vAlign w:val="center"/>
          </w:tcPr>
          <w:p w14:paraId="0C3344BF">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资源类型</w:t>
            </w:r>
          </w:p>
        </w:tc>
        <w:tc>
          <w:tcPr>
            <w:tcW w:w="2746" w:type="dxa"/>
            <w:noWrap w:val="0"/>
            <w:vAlign w:val="center"/>
          </w:tcPr>
          <w:p w14:paraId="772C6098">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配置规格</w:t>
            </w:r>
          </w:p>
        </w:tc>
        <w:tc>
          <w:tcPr>
            <w:tcW w:w="1014" w:type="dxa"/>
            <w:noWrap w:val="0"/>
            <w:vAlign w:val="center"/>
          </w:tcPr>
          <w:p w14:paraId="04B16463">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数量</w:t>
            </w:r>
          </w:p>
        </w:tc>
        <w:tc>
          <w:tcPr>
            <w:tcW w:w="3075" w:type="dxa"/>
            <w:noWrap w:val="0"/>
            <w:vAlign w:val="center"/>
          </w:tcPr>
          <w:p w14:paraId="450EA71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用途说明</w:t>
            </w:r>
          </w:p>
        </w:tc>
      </w:tr>
      <w:tr w14:paraId="60A5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642" w:type="dxa"/>
            <w:noWrap w:val="0"/>
            <w:vAlign w:val="center"/>
          </w:tcPr>
          <w:p w14:paraId="52A8CB3C">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应用服务器</w:t>
            </w:r>
          </w:p>
        </w:tc>
        <w:tc>
          <w:tcPr>
            <w:tcW w:w="2746" w:type="dxa"/>
            <w:noWrap w:val="0"/>
            <w:vAlign w:val="center"/>
          </w:tcPr>
          <w:p w14:paraId="56EA1F2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32核vCPU </w:t>
            </w:r>
          </w:p>
          <w:p w14:paraId="50BEBE1D">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128G内存 </w:t>
            </w:r>
          </w:p>
          <w:p w14:paraId="44233229">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500G SSD系统盘</w:t>
            </w:r>
          </w:p>
        </w:tc>
        <w:tc>
          <w:tcPr>
            <w:tcW w:w="1014" w:type="dxa"/>
            <w:noWrap w:val="0"/>
            <w:vAlign w:val="center"/>
          </w:tcPr>
          <w:p w14:paraId="66301ED0">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6台</w:t>
            </w:r>
          </w:p>
        </w:tc>
        <w:tc>
          <w:tcPr>
            <w:tcW w:w="3075" w:type="dxa"/>
            <w:noWrap w:val="0"/>
            <w:vAlign w:val="center"/>
          </w:tcPr>
          <w:p w14:paraId="5A04E13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应用集群，国产信创</w:t>
            </w:r>
          </w:p>
        </w:tc>
      </w:tr>
      <w:tr w14:paraId="4747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1642" w:type="dxa"/>
            <w:noWrap w:val="0"/>
            <w:vAlign w:val="center"/>
          </w:tcPr>
          <w:p w14:paraId="7AC1E826">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数据库服务器</w:t>
            </w:r>
          </w:p>
        </w:tc>
        <w:tc>
          <w:tcPr>
            <w:tcW w:w="2746" w:type="dxa"/>
            <w:noWrap w:val="0"/>
            <w:vAlign w:val="center"/>
          </w:tcPr>
          <w:p w14:paraId="7636AEF0">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32核vCPU </w:t>
            </w:r>
          </w:p>
          <w:p w14:paraId="242F2261">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128G内</w:t>
            </w:r>
          </w:p>
          <w:p w14:paraId="0AD93251">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2T SSD数据盘</w:t>
            </w:r>
          </w:p>
        </w:tc>
        <w:tc>
          <w:tcPr>
            <w:tcW w:w="1014" w:type="dxa"/>
            <w:noWrap w:val="0"/>
            <w:vAlign w:val="center"/>
          </w:tcPr>
          <w:p w14:paraId="0FFD3BB8">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4台</w:t>
            </w:r>
          </w:p>
        </w:tc>
        <w:tc>
          <w:tcPr>
            <w:tcW w:w="3075" w:type="dxa"/>
            <w:noWrap w:val="0"/>
            <w:vAlign w:val="center"/>
          </w:tcPr>
          <w:p w14:paraId="7DCE3FDD">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主从架构数据库集群，读写分离，主库2台、从库2台，国产信创</w:t>
            </w:r>
          </w:p>
        </w:tc>
      </w:tr>
      <w:tr w14:paraId="2768D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1642" w:type="dxa"/>
            <w:noWrap w:val="0"/>
            <w:vAlign w:val="center"/>
          </w:tcPr>
          <w:p w14:paraId="6DADECD4">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缓存与消息服务器</w:t>
            </w:r>
          </w:p>
        </w:tc>
        <w:tc>
          <w:tcPr>
            <w:tcW w:w="2746" w:type="dxa"/>
            <w:noWrap w:val="0"/>
            <w:vAlign w:val="center"/>
          </w:tcPr>
          <w:p w14:paraId="2A4E6D1C">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 xml:space="preserve">16核vCPU </w:t>
            </w:r>
          </w:p>
          <w:p w14:paraId="498D8BE8">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64G内存</w:t>
            </w:r>
          </w:p>
          <w:p w14:paraId="6DF9D1F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500G SSD数据盘</w:t>
            </w:r>
          </w:p>
        </w:tc>
        <w:tc>
          <w:tcPr>
            <w:tcW w:w="1014" w:type="dxa"/>
            <w:noWrap w:val="0"/>
            <w:vAlign w:val="center"/>
          </w:tcPr>
          <w:p w14:paraId="2A850B95">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4台</w:t>
            </w:r>
          </w:p>
        </w:tc>
        <w:tc>
          <w:tcPr>
            <w:tcW w:w="3075" w:type="dxa"/>
            <w:noWrap w:val="0"/>
            <w:vAlign w:val="center"/>
          </w:tcPr>
          <w:p w14:paraId="78A29958">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缓存集群、消息队列集群，提升系统响应速度，处理高并发请求，国产信创</w:t>
            </w:r>
          </w:p>
        </w:tc>
      </w:tr>
      <w:tr w14:paraId="0031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1642" w:type="dxa"/>
            <w:noWrap w:val="0"/>
            <w:vAlign w:val="center"/>
          </w:tcPr>
          <w:p w14:paraId="000C6637">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存储资源</w:t>
            </w:r>
          </w:p>
        </w:tc>
        <w:tc>
          <w:tcPr>
            <w:tcW w:w="2746" w:type="dxa"/>
            <w:noWrap w:val="0"/>
            <w:vAlign w:val="center"/>
          </w:tcPr>
          <w:p w14:paraId="431A0DA7">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高性能SSD块存储≥10T</w:t>
            </w:r>
          </w:p>
          <w:p w14:paraId="59EF4F50">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归档备份存储≥20T</w:t>
            </w:r>
          </w:p>
        </w:tc>
        <w:tc>
          <w:tcPr>
            <w:tcW w:w="1014" w:type="dxa"/>
            <w:noWrap w:val="0"/>
            <w:vAlign w:val="center"/>
          </w:tcPr>
          <w:p w14:paraId="7AC9B91B">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p>
        </w:tc>
        <w:tc>
          <w:tcPr>
            <w:tcW w:w="3075" w:type="dxa"/>
            <w:noWrap w:val="0"/>
            <w:vAlign w:val="center"/>
          </w:tcPr>
          <w:p w14:paraId="2D7B94E4">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存储业务数据、日志、备份数据</w:t>
            </w:r>
          </w:p>
        </w:tc>
      </w:tr>
      <w:tr w14:paraId="68BD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42" w:type="dxa"/>
            <w:noWrap w:val="0"/>
            <w:vAlign w:val="center"/>
          </w:tcPr>
          <w:p w14:paraId="7ED68CA8">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网络资源</w:t>
            </w:r>
          </w:p>
        </w:tc>
        <w:tc>
          <w:tcPr>
            <w:tcW w:w="2746" w:type="dxa"/>
            <w:noWrap w:val="0"/>
            <w:vAlign w:val="center"/>
          </w:tcPr>
          <w:p w14:paraId="3C2A7774">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带宽≥100M</w:t>
            </w:r>
          </w:p>
        </w:tc>
        <w:tc>
          <w:tcPr>
            <w:tcW w:w="1014" w:type="dxa"/>
            <w:noWrap w:val="0"/>
            <w:vAlign w:val="center"/>
          </w:tcPr>
          <w:p w14:paraId="273DF994">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w:t>
            </w:r>
          </w:p>
        </w:tc>
        <w:tc>
          <w:tcPr>
            <w:tcW w:w="3075" w:type="dxa"/>
            <w:noWrap w:val="0"/>
            <w:vAlign w:val="center"/>
          </w:tcPr>
          <w:p w14:paraId="1DD7907B">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保障网络访问稳定性</w:t>
            </w:r>
          </w:p>
        </w:tc>
      </w:tr>
      <w:tr w14:paraId="55BA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trPr>
        <w:tc>
          <w:tcPr>
            <w:tcW w:w="1642" w:type="dxa"/>
            <w:noWrap w:val="0"/>
            <w:vAlign w:val="center"/>
          </w:tcPr>
          <w:p w14:paraId="57F2F842">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安全硬件</w:t>
            </w:r>
          </w:p>
        </w:tc>
        <w:tc>
          <w:tcPr>
            <w:tcW w:w="2746" w:type="dxa"/>
            <w:noWrap w:val="0"/>
            <w:vAlign w:val="center"/>
          </w:tcPr>
          <w:p w14:paraId="55FE81A4">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Web应用防火墙(WAF)、下一代防火墙(NGFW)、入侵检测系统(IDS)、数据脱敏系统、CFCA数字证书设备</w:t>
            </w:r>
          </w:p>
        </w:tc>
        <w:tc>
          <w:tcPr>
            <w:tcW w:w="1014" w:type="dxa"/>
            <w:noWrap w:val="0"/>
            <w:vAlign w:val="center"/>
          </w:tcPr>
          <w:p w14:paraId="1B2D0013">
            <w:pPr>
              <w:spacing w:line="400" w:lineRule="exact"/>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1套</w:t>
            </w:r>
          </w:p>
        </w:tc>
        <w:tc>
          <w:tcPr>
            <w:tcW w:w="3075" w:type="dxa"/>
            <w:noWrap w:val="0"/>
            <w:vAlign w:val="center"/>
          </w:tcPr>
          <w:p w14:paraId="10E76855">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安全硬件资源，符合等保2.0三级要求，国产信创</w:t>
            </w:r>
          </w:p>
        </w:tc>
      </w:tr>
    </w:tbl>
    <w:p w14:paraId="392C3823">
      <w:pPr>
        <w:spacing w:line="400" w:lineRule="exact"/>
        <w:ind w:firstLine="482" w:firstLineChars="200"/>
        <w:rPr>
          <w:rFonts w:hint="eastAsia" w:ascii="方正仿宋_GBK" w:hAnsi="方正楷体_GBK" w:eastAsia="方正仿宋_GBK" w:cs="方正楷体_GBK"/>
          <w:b/>
          <w:bCs w:val="0"/>
          <w:color w:val="auto"/>
          <w:sz w:val="24"/>
          <w:highlight w:val="none"/>
          <w:lang w:val="en-US" w:eastAsia="zh-CN"/>
        </w:rPr>
      </w:pPr>
      <w:r>
        <w:rPr>
          <w:rFonts w:hint="eastAsia" w:ascii="方正仿宋_GBK" w:hAnsi="方正楷体_GBK" w:eastAsia="方正仿宋_GBK" w:cs="方正楷体_GBK"/>
          <w:b/>
          <w:bCs w:val="0"/>
          <w:color w:val="auto"/>
          <w:sz w:val="24"/>
          <w:highlight w:val="none"/>
          <w:lang w:val="en-US" w:eastAsia="zh-CN"/>
        </w:rPr>
        <w:t>3.3.3 高并发与安全合规能力</w:t>
      </w:r>
    </w:p>
    <w:p w14:paraId="08367DA5">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需具备高并发处理能力，支持峰值QPS≥10万+，可承载百万级市总工会会员同时在线访问；核销请求响应时间≤50ms，支付核销响应时间≤100ms，保障线下门店核销流畅无延迟，满足支付3000笔/秒的核销并发上限。</w:t>
      </w:r>
    </w:p>
    <w:p w14:paraId="7CAA4596">
      <w:pPr>
        <w:spacing w:line="400" w:lineRule="exact"/>
        <w:ind w:firstLine="480" w:firstLineChars="200"/>
        <w:rPr>
          <w:rFonts w:hint="eastAsia" w:ascii="方正仿宋_GBK" w:hAnsi="方正楷体_GBK" w:eastAsia="方正仿宋_GBK" w:cs="方正楷体_GBK"/>
          <w:bCs/>
          <w:color w:val="auto"/>
          <w:sz w:val="24"/>
          <w:highlight w:val="none"/>
          <w:lang w:val="en-US" w:eastAsia="zh-CN"/>
        </w:rPr>
      </w:pPr>
      <w:r>
        <w:rPr>
          <w:rFonts w:hint="eastAsia" w:ascii="方正仿宋_GBK" w:hAnsi="方正楷体_GBK" w:eastAsia="方正仿宋_GBK" w:cs="方正楷体_GBK"/>
          <w:bCs/>
          <w:color w:val="auto"/>
          <w:sz w:val="24"/>
          <w:highlight w:val="none"/>
          <w:lang w:val="en-US" w:eastAsia="zh-CN"/>
        </w:rPr>
        <w:t>专属场景需严格遵循国家网络安全、数据安全相关法律法规，符合等保2.0三级标准。对敏感数据、卡信息进行加密存储与传输，防范SQL注入、XSS跨站脚本、DDoS攻击等常见网络攻击，确保系统全链路安全。</w:t>
      </w:r>
    </w:p>
    <w:p w14:paraId="3A3F373A">
      <w:pPr>
        <w:spacing w:line="400" w:lineRule="exact"/>
        <w:ind w:firstLine="480" w:firstLineChars="200"/>
        <w:rPr>
          <w:rFonts w:hint="eastAsia" w:ascii="方正仿宋_GBK" w:hAnsi="宋体" w:eastAsia="方正仿宋_GBK"/>
          <w:color w:val="auto"/>
          <w:sz w:val="24"/>
          <w:szCs w:val="24"/>
          <w:highlight w:val="none"/>
        </w:rPr>
      </w:pPr>
    </w:p>
    <w:p w14:paraId="011FE153">
      <w:pPr>
        <w:spacing w:line="400" w:lineRule="exact"/>
        <w:ind w:firstLine="480" w:firstLineChars="200"/>
        <w:rPr>
          <w:rFonts w:hint="eastAsia" w:ascii="方正仿宋_GBK" w:hAnsi="宋体" w:eastAsia="方正仿宋_GBK"/>
          <w:color w:val="auto"/>
          <w:sz w:val="24"/>
          <w:szCs w:val="24"/>
          <w:highlight w:val="none"/>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p>
    <w:p w14:paraId="60073FA4">
      <w:pPr>
        <w:pStyle w:val="3"/>
        <w:spacing w:before="0" w:after="0" w:line="360" w:lineRule="auto"/>
        <w:jc w:val="center"/>
        <w:rPr>
          <w:rFonts w:hint="eastAsia" w:ascii="方正小标宋_GBK" w:hAnsi="宋体" w:eastAsia="方正小标宋_GBK"/>
          <w:b w:val="0"/>
          <w:color w:val="auto"/>
          <w:sz w:val="36"/>
          <w:szCs w:val="30"/>
          <w:highlight w:val="none"/>
        </w:rPr>
      </w:pPr>
      <w:bookmarkStart w:id="40" w:name="_Toc25188"/>
      <w:bookmarkStart w:id="41" w:name="_Toc106030882"/>
      <w:bookmarkStart w:id="42" w:name="_Toc76462327"/>
      <w:r>
        <w:rPr>
          <w:rFonts w:hint="eastAsia" w:ascii="方正小标宋_GBK" w:hAnsi="宋体" w:eastAsia="方正小标宋_GBK"/>
          <w:b w:val="0"/>
          <w:color w:val="auto"/>
          <w:sz w:val="36"/>
          <w:szCs w:val="30"/>
          <w:highlight w:val="none"/>
        </w:rPr>
        <w:t xml:space="preserve">第三篇  </w:t>
      </w:r>
      <w:bookmarkEnd w:id="38"/>
      <w:r>
        <w:rPr>
          <w:rFonts w:hint="eastAsia" w:ascii="方正小标宋_GBK" w:hAnsi="宋体" w:eastAsia="方正小标宋_GBK"/>
          <w:b w:val="0"/>
          <w:color w:val="auto"/>
          <w:sz w:val="36"/>
          <w:szCs w:val="30"/>
          <w:highlight w:val="none"/>
        </w:rPr>
        <w:t>项目商务需求</w:t>
      </w:r>
      <w:bookmarkEnd w:id="40"/>
      <w:bookmarkEnd w:id="41"/>
      <w:bookmarkEnd w:id="42"/>
    </w:p>
    <w:p w14:paraId="484EB8AD">
      <w:pPr>
        <w:pStyle w:val="34"/>
        <w:spacing w:line="400" w:lineRule="exact"/>
        <w:ind w:firstLine="480" w:firstLineChars="200"/>
        <w:rPr>
          <w:rFonts w:hint="eastAsia" w:ascii="方正仿宋_GBK" w:hAnsi="宋体" w:eastAsia="方正仿宋_GBK"/>
          <w:color w:val="auto"/>
          <w:sz w:val="24"/>
          <w:szCs w:val="24"/>
          <w:highlight w:val="none"/>
        </w:rPr>
      </w:pPr>
      <w:bookmarkStart w:id="43" w:name="_Toc344475120"/>
      <w:bookmarkStart w:id="44" w:name="_Toc76462328"/>
    </w:p>
    <w:p w14:paraId="5F77DD15">
      <w:pPr>
        <w:pStyle w:val="3"/>
        <w:adjustRightInd w:val="0"/>
        <w:snapToGrid w:val="0"/>
        <w:spacing w:before="0" w:after="0" w:line="400" w:lineRule="exact"/>
        <w:ind w:firstLine="482" w:firstLineChars="200"/>
        <w:rPr>
          <w:rFonts w:hint="eastAsia" w:ascii="方正仿宋_GBK" w:hAnsi="方正仿宋_GBK" w:eastAsia="方正仿宋_GBK" w:cs="方正仿宋_GBK"/>
          <w:color w:val="auto"/>
          <w:sz w:val="24"/>
          <w:highlight w:val="none"/>
        </w:rPr>
      </w:pPr>
      <w:bookmarkStart w:id="45" w:name="_Toc106030883"/>
      <w:bookmarkStart w:id="46" w:name="_Toc25508"/>
      <w:r>
        <w:rPr>
          <w:rFonts w:hint="eastAsia" w:ascii="方正仿宋_GBK" w:hAnsi="方正仿宋_GBK" w:eastAsia="方正仿宋_GBK" w:cs="方正仿宋_GBK"/>
          <w:color w:val="auto"/>
          <w:sz w:val="24"/>
          <w:highlight w:val="none"/>
        </w:rPr>
        <w:t>一、服务期、地点及验收方式</w:t>
      </w:r>
      <w:bookmarkEnd w:id="43"/>
      <w:bookmarkEnd w:id="44"/>
      <w:bookmarkEnd w:id="45"/>
      <w:bookmarkEnd w:id="46"/>
    </w:p>
    <w:p w14:paraId="45F4C8D9">
      <w:pPr>
        <w:pStyle w:val="34"/>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（一）服务期：</w:t>
      </w:r>
      <w:r>
        <w:rPr>
          <w:rFonts w:hint="eastAsia" w:ascii="Times New Roman" w:hAnsi="Times New Roman" w:eastAsia="方正仿宋_GBK" w:cs="Times New Roman"/>
          <w:color w:val="auto"/>
          <w:sz w:val="24"/>
          <w:szCs w:val="24"/>
          <w:highlight w:val="none"/>
          <w:lang w:val="en-US" w:eastAsia="zh-CN"/>
        </w:rPr>
        <w:t>1年</w:t>
      </w:r>
      <w:r>
        <w:rPr>
          <w:rFonts w:hint="eastAsia" w:ascii="方正仿宋_GBK" w:hAnsi="方正仿宋_GBK" w:eastAsia="方正仿宋_GBK" w:cs="方正仿宋_GBK"/>
          <w:color w:val="auto"/>
          <w:sz w:val="24"/>
          <w:szCs w:val="24"/>
          <w:highlight w:val="none"/>
        </w:rPr>
        <w:t>。</w:t>
      </w:r>
    </w:p>
    <w:p w14:paraId="34FE3FDC">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（二）服务地点：采购人指定地点</w:t>
      </w:r>
      <w:r>
        <w:rPr>
          <w:rFonts w:hint="eastAsia" w:ascii="方正仿宋_GBK" w:hAnsi="方正仿宋_GBK" w:eastAsia="方正仿宋_GBK" w:cs="方正仿宋_GBK"/>
          <w:color w:val="auto"/>
          <w:kern w:val="0"/>
          <w:sz w:val="24"/>
          <w:highlight w:val="none"/>
          <w:lang w:val="en-US" w:eastAsia="zh-CN"/>
        </w:rPr>
        <w:t>。</w:t>
      </w:r>
    </w:p>
    <w:p w14:paraId="15ED730B">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（三）验收方式：</w:t>
      </w:r>
      <w:bookmarkStart w:id="47" w:name="_Toc344475121"/>
      <w:bookmarkStart w:id="48" w:name="_Toc76462329"/>
      <w:bookmarkStart w:id="49" w:name="_Toc106030884"/>
      <w:r>
        <w:rPr>
          <w:rFonts w:hint="eastAsia" w:ascii="方正仿宋_GBK" w:hAnsi="方正仿宋_GBK" w:eastAsia="方正仿宋_GBK" w:cs="方正仿宋_GBK"/>
          <w:color w:val="auto"/>
          <w:sz w:val="24"/>
          <w:szCs w:val="24"/>
          <w:highlight w:val="none"/>
        </w:rPr>
        <w:t>成交供应商完成</w:t>
      </w:r>
      <w:r>
        <w:rPr>
          <w:rFonts w:hint="eastAsia" w:ascii="方正仿宋_GBK" w:hAnsi="方正仿宋_GBK" w:eastAsia="方正仿宋_GBK" w:cs="方正仿宋_GBK"/>
          <w:color w:val="auto"/>
          <w:sz w:val="24"/>
          <w:szCs w:val="24"/>
          <w:highlight w:val="none"/>
          <w:lang w:eastAsia="zh-CN"/>
        </w:rPr>
        <w:t>磋商文件</w:t>
      </w:r>
      <w:r>
        <w:rPr>
          <w:rFonts w:hint="eastAsia" w:ascii="方正仿宋_GBK" w:hAnsi="方正仿宋_GBK" w:eastAsia="方正仿宋_GBK" w:cs="方正仿宋_GBK"/>
          <w:color w:val="auto"/>
          <w:sz w:val="24"/>
          <w:szCs w:val="24"/>
          <w:highlight w:val="none"/>
        </w:rPr>
        <w:t>中要求的服务内容，并达到</w:t>
      </w:r>
      <w:r>
        <w:rPr>
          <w:rFonts w:hint="eastAsia" w:ascii="方正仿宋_GBK" w:hAnsi="方正仿宋_GBK" w:eastAsia="方正仿宋_GBK" w:cs="方正仿宋_GBK"/>
          <w:color w:val="auto"/>
          <w:sz w:val="24"/>
          <w:szCs w:val="24"/>
          <w:highlight w:val="none"/>
          <w:lang w:eastAsia="zh-CN"/>
        </w:rPr>
        <w:t>磋商文件</w:t>
      </w:r>
      <w:r>
        <w:rPr>
          <w:rFonts w:hint="eastAsia" w:ascii="方正仿宋_GBK" w:hAnsi="方正仿宋_GBK" w:eastAsia="方正仿宋_GBK" w:cs="方正仿宋_GBK"/>
          <w:color w:val="auto"/>
          <w:sz w:val="24"/>
          <w:szCs w:val="24"/>
          <w:highlight w:val="none"/>
        </w:rPr>
        <w:t>中的相关要求，提交相关成果报告，由采购人组织验收。</w:t>
      </w:r>
    </w:p>
    <w:p w14:paraId="3F2459AA">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验收合格条件如下：</w:t>
      </w:r>
    </w:p>
    <w:p w14:paraId="472128D0">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1.工作量及质量达到磋商文件及相关规范要求； </w:t>
      </w:r>
    </w:p>
    <w:p w14:paraId="79063937">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2.项目最终成果，通过采购人组织的验收；</w:t>
      </w:r>
    </w:p>
    <w:p w14:paraId="4E0E6BBF">
      <w:pPr>
        <w:spacing w:line="400" w:lineRule="exact"/>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3.项目原始资料及成果报告按要求汇交完毕，并移交采购人。</w:t>
      </w:r>
    </w:p>
    <w:p w14:paraId="572197C4">
      <w:pPr>
        <w:pStyle w:val="3"/>
        <w:adjustRightInd w:val="0"/>
        <w:snapToGrid w:val="0"/>
        <w:spacing w:before="0" w:after="0" w:line="400" w:lineRule="exact"/>
        <w:ind w:firstLine="482" w:firstLineChars="200"/>
        <w:rPr>
          <w:rFonts w:hint="eastAsia" w:ascii="方正仿宋_GBK" w:hAnsi="方正仿宋_GBK" w:eastAsia="方正仿宋_GBK" w:cs="方正仿宋_GBK"/>
          <w:color w:val="auto"/>
          <w:sz w:val="24"/>
          <w:highlight w:val="none"/>
        </w:rPr>
      </w:pPr>
      <w:bookmarkStart w:id="50" w:name="_Toc27676"/>
      <w:r>
        <w:rPr>
          <w:rFonts w:hint="eastAsia" w:ascii="方正仿宋_GBK" w:hAnsi="方正仿宋_GBK" w:eastAsia="方正仿宋_GBK" w:cs="方正仿宋_GBK"/>
          <w:color w:val="auto"/>
          <w:sz w:val="24"/>
          <w:highlight w:val="none"/>
        </w:rPr>
        <w:t>二、</w:t>
      </w:r>
      <w:bookmarkEnd w:id="47"/>
      <w:r>
        <w:rPr>
          <w:rFonts w:hint="eastAsia" w:ascii="方正仿宋_GBK" w:hAnsi="方正仿宋_GBK" w:eastAsia="方正仿宋_GBK" w:cs="方正仿宋_GBK"/>
          <w:color w:val="auto"/>
          <w:sz w:val="24"/>
          <w:highlight w:val="none"/>
        </w:rPr>
        <w:t>报价要求</w:t>
      </w:r>
      <w:bookmarkEnd w:id="48"/>
      <w:bookmarkEnd w:id="49"/>
      <w:bookmarkEnd w:id="50"/>
    </w:p>
    <w:p w14:paraId="61A6244A">
      <w:pPr>
        <w:adjustRightInd w:val="0"/>
        <w:snapToGrid w:val="0"/>
        <w:spacing w:before="0" w:after="0" w:line="400" w:lineRule="exact"/>
        <w:ind w:firstLine="480" w:firstLineChars="200"/>
        <w:outlineLvl w:val="9"/>
        <w:rPr>
          <w:rFonts w:hint="default"/>
          <w:color w:val="auto"/>
          <w:highlight w:val="none"/>
          <w:lang w:val="en-US"/>
        </w:rPr>
      </w:pPr>
      <w:r>
        <w:rPr>
          <w:rFonts w:hint="eastAsia" w:ascii="方正仿宋_GBK" w:hAnsi="宋体" w:eastAsia="方正仿宋_GBK" w:cs="Times New Roman"/>
          <w:b w:val="0"/>
          <w:color w:val="auto"/>
          <w:kern w:val="2"/>
          <w:sz w:val="24"/>
          <w:szCs w:val="24"/>
          <w:highlight w:val="none"/>
          <w:lang w:val="en-US" w:eastAsia="zh-CN" w:bidi="ar-SA"/>
        </w:rPr>
        <w:t>磋商报价须为人民币报价，包括完成项目实施和服务的完整报价，包括完成本项目所需的服务费、人工费、调研费、咨询费、提供服务所需的设备购买费、税费和政策性文件规定及合同包含的所有风险、责任等所有价格。因供应商自身原因造成漏报、少报皆由其自行承担责任，采购人不再补偿。</w:t>
      </w:r>
    </w:p>
    <w:p w14:paraId="1FD67DE6">
      <w:pPr>
        <w:pStyle w:val="3"/>
        <w:adjustRightInd w:val="0"/>
        <w:snapToGrid w:val="0"/>
        <w:spacing w:before="0" w:after="0" w:line="400" w:lineRule="exact"/>
        <w:ind w:firstLine="482" w:firstLineChars="200"/>
        <w:rPr>
          <w:rFonts w:hint="eastAsia" w:ascii="方正仿宋_GBK" w:hAnsi="方正仿宋_GBK" w:eastAsia="方正仿宋_GBK" w:cs="方正仿宋_GBK"/>
          <w:color w:val="auto"/>
          <w:sz w:val="24"/>
          <w:highlight w:val="none"/>
        </w:rPr>
      </w:pPr>
      <w:bookmarkStart w:id="51" w:name="_Toc344475122"/>
      <w:bookmarkStart w:id="52" w:name="_Toc76462330"/>
      <w:bookmarkStart w:id="53" w:name="_Toc106030885"/>
      <w:bookmarkStart w:id="54" w:name="_Toc30332"/>
      <w:r>
        <w:rPr>
          <w:rFonts w:hint="eastAsia" w:ascii="方正仿宋_GBK" w:hAnsi="方正仿宋_GBK" w:eastAsia="方正仿宋_GBK" w:cs="方正仿宋_GBK"/>
          <w:color w:val="auto"/>
          <w:sz w:val="24"/>
          <w:highlight w:val="none"/>
        </w:rPr>
        <w:t>三、付款方式</w:t>
      </w:r>
      <w:bookmarkEnd w:id="51"/>
      <w:bookmarkEnd w:id="52"/>
      <w:bookmarkEnd w:id="53"/>
      <w:bookmarkEnd w:id="54"/>
    </w:p>
    <w:p w14:paraId="5011AD11">
      <w:pPr>
        <w:adjustRightInd w:val="0"/>
        <w:snapToGrid w:val="0"/>
        <w:spacing w:before="0" w:after="0" w:line="400" w:lineRule="exact"/>
        <w:ind w:firstLine="480" w:firstLineChars="200"/>
        <w:outlineLvl w:val="9"/>
        <w:rPr>
          <w:rFonts w:hint="eastAsia" w:ascii="方正仿宋_GBK" w:hAnsi="宋体" w:eastAsia="方正仿宋_GBK" w:cs="Times New Roman"/>
          <w:b w:val="0"/>
          <w:color w:val="auto"/>
          <w:kern w:val="2"/>
          <w:sz w:val="24"/>
          <w:szCs w:val="24"/>
          <w:highlight w:val="none"/>
          <w:lang w:val="en-US" w:eastAsia="zh-CN" w:bidi="ar-SA"/>
        </w:rPr>
      </w:pPr>
      <w:bookmarkStart w:id="55" w:name="_Toc267320052"/>
      <w:bookmarkStart w:id="56" w:name="_Toc10105"/>
      <w:bookmarkStart w:id="57" w:name="_Toc4339"/>
      <w:bookmarkStart w:id="58" w:name="_Toc11060"/>
      <w:bookmarkStart w:id="59" w:name="_Toc16144"/>
      <w:bookmarkStart w:id="60" w:name="_Toc26410"/>
      <w:bookmarkStart w:id="61" w:name="_Toc12349"/>
      <w:bookmarkStart w:id="62" w:name="_Toc4897"/>
      <w:bookmarkStart w:id="63" w:name="_Toc27144"/>
      <w:bookmarkStart w:id="64" w:name="_Toc3311"/>
      <w:bookmarkStart w:id="65" w:name="_Toc75793513"/>
      <w:bookmarkStart w:id="66" w:name="_Toc18959"/>
      <w:bookmarkStart w:id="67" w:name="_Toc22431"/>
      <w:bookmarkStart w:id="68" w:name="_Toc3565"/>
      <w:bookmarkStart w:id="69" w:name="_Toc9213"/>
      <w:bookmarkStart w:id="70" w:name="_Toc25410"/>
      <w:bookmarkStart w:id="71" w:name="_Toc106030389"/>
      <w:bookmarkStart w:id="72" w:name="_Toc28056"/>
      <w:bookmarkStart w:id="73" w:name="_Toc11399"/>
      <w:bookmarkStart w:id="74" w:name="_Toc20369"/>
      <w:r>
        <w:rPr>
          <w:rFonts w:hint="eastAsia" w:ascii="方正仿宋_GBK" w:hAnsi="宋体" w:eastAsia="方正仿宋_GBK" w:cs="Times New Roman"/>
          <w:b w:val="0"/>
          <w:color w:val="auto"/>
          <w:kern w:val="2"/>
          <w:sz w:val="24"/>
          <w:szCs w:val="24"/>
          <w:highlight w:val="none"/>
          <w:lang w:val="en-US" w:eastAsia="zh-CN" w:bidi="ar-SA"/>
        </w:rPr>
        <w:t>合同签订之后成交供应商向采购人出具合法合规的发票，经采购人确认无误，15个工作日内采购人以转账方式向成交供应商支付合同金额50%的款项。</w:t>
      </w:r>
    </w:p>
    <w:p w14:paraId="308DBEB7">
      <w:pPr>
        <w:adjustRightInd w:val="0"/>
        <w:snapToGrid w:val="0"/>
        <w:spacing w:before="0" w:after="0" w:line="400" w:lineRule="exact"/>
        <w:ind w:firstLine="480" w:firstLineChars="200"/>
        <w:outlineLvl w:val="9"/>
        <w:rPr>
          <w:rFonts w:hint="eastAsia" w:ascii="方正仿宋_GBK" w:hAnsi="宋体" w:eastAsia="方正仿宋_GBK" w:cs="Times New Roman"/>
          <w:b/>
          <w:color w:val="auto"/>
          <w:sz w:val="24"/>
          <w:highlight w:val="none"/>
          <w:lang w:val="en-US" w:eastAsia="zh-CN"/>
        </w:rPr>
      </w:pPr>
      <w:r>
        <w:rPr>
          <w:rFonts w:hint="eastAsia" w:ascii="方正仿宋_GBK" w:hAnsi="宋体" w:eastAsia="方正仿宋_GBK" w:cs="Times New Roman"/>
          <w:b w:val="0"/>
          <w:color w:val="auto"/>
          <w:kern w:val="2"/>
          <w:sz w:val="24"/>
          <w:szCs w:val="24"/>
          <w:highlight w:val="none"/>
          <w:lang w:val="en-US" w:eastAsia="zh-CN" w:bidi="ar-SA"/>
        </w:rPr>
        <w:t>项目全部完成并通过采购人验收后，成交供应商向采购人出具合法合规的发票及相关验收文档，经采购人确认无误，15个工作日内采购人以转账方式向成交供应商支付合同金额50%的款项。</w:t>
      </w:r>
    </w:p>
    <w:p w14:paraId="5C983511">
      <w:pPr>
        <w:pStyle w:val="3"/>
        <w:adjustRightInd w:val="0"/>
        <w:snapToGrid w:val="0"/>
        <w:spacing w:before="0" w:after="0" w:line="400" w:lineRule="exact"/>
        <w:ind w:firstLine="482" w:firstLineChars="200"/>
        <w:rPr>
          <w:rFonts w:hint="eastAsia" w:ascii="方正仿宋_GBK" w:hAnsi="方正仿宋_GBK" w:eastAsia="方正仿宋_GBK" w:cs="方正仿宋_GBK"/>
          <w:b/>
          <w:color w:val="auto"/>
          <w:sz w:val="24"/>
          <w:highlight w:val="none"/>
        </w:rPr>
      </w:pPr>
      <w:bookmarkStart w:id="75" w:name="_Toc20609"/>
      <w:bookmarkStart w:id="76" w:name="_Toc21167"/>
      <w:r>
        <w:rPr>
          <w:rFonts w:hint="eastAsia" w:ascii="方正仿宋_GBK" w:hAnsi="方正仿宋_GBK" w:eastAsia="方正仿宋_GBK" w:cs="方正仿宋_GBK"/>
          <w:b/>
          <w:color w:val="auto"/>
          <w:sz w:val="24"/>
          <w:highlight w:val="none"/>
        </w:rPr>
        <w:t>四、质量保证及相关服务</w:t>
      </w:r>
      <w:bookmarkEnd w:id="75"/>
      <w:bookmarkEnd w:id="76"/>
    </w:p>
    <w:p w14:paraId="439907BF">
      <w:pPr>
        <w:adjustRightInd w:val="0"/>
        <w:snapToGrid w:val="0"/>
        <w:spacing w:before="0" w:after="0" w:line="400" w:lineRule="exact"/>
        <w:ind w:firstLine="480" w:firstLineChars="200"/>
        <w:outlineLvl w:val="9"/>
        <w:rPr>
          <w:rFonts w:hint="eastAsia" w:ascii="方正仿宋_GBK" w:hAnsi="宋体" w:eastAsia="方正仿宋_GBK" w:cs="Times New Roman"/>
          <w:b w:val="0"/>
          <w:color w:val="auto"/>
          <w:kern w:val="2"/>
          <w:sz w:val="24"/>
          <w:szCs w:val="24"/>
          <w:highlight w:val="none"/>
          <w:lang w:val="en-US" w:eastAsia="zh-CN" w:bidi="ar-SA"/>
        </w:rPr>
      </w:pPr>
      <w:r>
        <w:rPr>
          <w:rFonts w:hint="eastAsia" w:ascii="方正仿宋_GBK" w:hAnsi="宋体" w:eastAsia="方正仿宋_GBK" w:cs="Times New Roman"/>
          <w:b w:val="0"/>
          <w:color w:val="auto"/>
          <w:kern w:val="2"/>
          <w:sz w:val="24"/>
          <w:szCs w:val="24"/>
          <w:highlight w:val="none"/>
          <w:lang w:val="en-US" w:eastAsia="zh-CN" w:bidi="ar-SA"/>
        </w:rPr>
        <w:t>（一）成交供应商应保证在规定的时间内完成本项目服务；</w:t>
      </w:r>
    </w:p>
    <w:p w14:paraId="566EA7DE">
      <w:pPr>
        <w:adjustRightInd w:val="0"/>
        <w:snapToGrid w:val="0"/>
        <w:spacing w:before="0" w:after="0" w:line="400" w:lineRule="exact"/>
        <w:ind w:firstLine="480" w:firstLineChars="200"/>
        <w:outlineLvl w:val="9"/>
        <w:rPr>
          <w:rFonts w:hint="eastAsia" w:ascii="方正仿宋_GBK" w:hAnsi="宋体" w:eastAsia="方正仿宋_GBK" w:cs="Times New Roman"/>
          <w:b/>
          <w:color w:val="auto"/>
          <w:sz w:val="24"/>
          <w:highlight w:val="none"/>
          <w:lang w:val="en-US" w:eastAsia="zh-CN"/>
        </w:rPr>
      </w:pPr>
      <w:r>
        <w:rPr>
          <w:rFonts w:hint="eastAsia" w:ascii="方正仿宋_GBK" w:hAnsi="宋体" w:eastAsia="方正仿宋_GBK" w:cs="Times New Roman"/>
          <w:b w:val="0"/>
          <w:color w:val="auto"/>
          <w:kern w:val="2"/>
          <w:sz w:val="24"/>
          <w:szCs w:val="24"/>
          <w:highlight w:val="none"/>
          <w:lang w:val="en-US" w:eastAsia="zh-CN" w:bidi="ar-SA"/>
        </w:rPr>
        <w:t>（二）在项目实施过程中提供必要的技术服务。</w:t>
      </w:r>
    </w:p>
    <w:p w14:paraId="0EFC4520">
      <w:pPr>
        <w:pStyle w:val="3"/>
        <w:adjustRightInd w:val="0"/>
        <w:snapToGrid w:val="0"/>
        <w:spacing w:before="0" w:after="0" w:line="400" w:lineRule="exact"/>
        <w:ind w:firstLine="482" w:firstLineChars="200"/>
        <w:rPr>
          <w:rFonts w:hint="eastAsia" w:ascii="方正仿宋_GBK" w:hAnsi="宋体" w:eastAsia="方正仿宋_GBK" w:cs="Times New Roman"/>
          <w:b/>
          <w:color w:val="auto"/>
          <w:sz w:val="24"/>
          <w:highlight w:val="none"/>
        </w:rPr>
      </w:pPr>
      <w:bookmarkStart w:id="77" w:name="_Toc22544"/>
      <w:r>
        <w:rPr>
          <w:rFonts w:hint="eastAsia" w:ascii="方正仿宋_GBK" w:hAnsi="宋体" w:eastAsia="方正仿宋_GBK" w:cs="Times New Roman"/>
          <w:b/>
          <w:color w:val="auto"/>
          <w:sz w:val="24"/>
          <w:highlight w:val="none"/>
          <w:lang w:val="en-US" w:eastAsia="zh-CN"/>
        </w:rPr>
        <w:t>五</w:t>
      </w:r>
      <w:r>
        <w:rPr>
          <w:rFonts w:hint="eastAsia" w:ascii="方正仿宋_GBK" w:hAnsi="宋体" w:eastAsia="方正仿宋_GBK" w:cs="Times New Roman"/>
          <w:b/>
          <w:color w:val="auto"/>
          <w:sz w:val="24"/>
          <w:highlight w:val="none"/>
        </w:rPr>
        <w:t>、知识产权</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7"/>
    </w:p>
    <w:p w14:paraId="6249054F">
      <w:pPr>
        <w:pageBreakBefore w:val="0"/>
        <w:widowControl w:val="0"/>
        <w:kinsoku/>
        <w:wordWrap/>
        <w:overflowPunct/>
        <w:topLinePunct w:val="0"/>
        <w:autoSpaceDE/>
        <w:autoSpaceDN/>
        <w:bidi w:val="0"/>
        <w:snapToGrid w:val="0"/>
        <w:spacing w:line="400" w:lineRule="exact"/>
        <w:ind w:firstLine="540"/>
        <w:textAlignment w:val="auto"/>
        <w:rPr>
          <w:rFonts w:hint="eastAsia" w:ascii="方正仿宋_GBK" w:hAnsi="方正仿宋_GBK" w:eastAsia="方正仿宋_GBK" w:cs="方正仿宋_GBK"/>
          <w:b w:val="0"/>
          <w:color w:val="auto"/>
          <w:kern w:val="2"/>
          <w:sz w:val="24"/>
          <w:szCs w:val="24"/>
          <w:highlight w:val="none"/>
          <w:lang w:val="en-US" w:eastAsia="zh-CN" w:bidi="ar-SA"/>
        </w:rPr>
      </w:pPr>
      <w:r>
        <w:rPr>
          <w:rFonts w:hint="eastAsia" w:ascii="方正仿宋_GBK" w:hAnsi="方正仿宋_GBK" w:eastAsia="方正仿宋_GBK" w:cs="方正仿宋_GBK"/>
          <w:b w:val="0"/>
          <w:color w:val="auto"/>
          <w:kern w:val="2"/>
          <w:sz w:val="24"/>
          <w:szCs w:val="24"/>
          <w:highlight w:val="none"/>
          <w:lang w:val="en-US" w:eastAsia="zh-CN" w:bidi="ar-SA"/>
        </w:rPr>
        <w:t>采购人在</w:t>
      </w:r>
      <w:r>
        <w:rPr>
          <w:rFonts w:hint="eastAsia" w:ascii="方正仿宋_GBK" w:hAnsi="方正仿宋_GBK" w:eastAsia="方正仿宋_GBK" w:cs="方正仿宋_GBK"/>
          <w:color w:val="auto"/>
          <w:sz w:val="24"/>
          <w:szCs w:val="24"/>
          <w:highlight w:val="none"/>
          <w:lang w:val="en-US" w:eastAsia="zh-CN"/>
        </w:rPr>
        <w:t>中华人民共和国</w:t>
      </w:r>
      <w:r>
        <w:rPr>
          <w:rFonts w:hint="eastAsia" w:ascii="方正仿宋_GBK" w:hAnsi="方正仿宋_GBK" w:eastAsia="方正仿宋_GBK" w:cs="方正仿宋_GBK"/>
          <w:b w:val="0"/>
          <w:color w:val="auto"/>
          <w:kern w:val="2"/>
          <w:sz w:val="24"/>
          <w:szCs w:val="24"/>
          <w:highlight w:val="none"/>
          <w:lang w:val="en-US" w:eastAsia="zh-CN" w:bidi="ar-SA"/>
        </w:rPr>
        <w:t>境内使用成交供应商提供的货物及服务时免受第三方提出的侵犯其专利权或其它知识产权的起诉。如果第三方提出侵权指控，成交供应商应承担由此而引起的一切法律责任和费用。</w:t>
      </w:r>
    </w:p>
    <w:p w14:paraId="286F4C0D">
      <w:pPr>
        <w:pStyle w:val="3"/>
        <w:adjustRightInd w:val="0"/>
        <w:snapToGrid w:val="0"/>
        <w:spacing w:before="0" w:after="0" w:line="400" w:lineRule="exact"/>
        <w:ind w:firstLine="482" w:firstLineChars="200"/>
        <w:rPr>
          <w:rFonts w:hint="eastAsia" w:ascii="方正仿宋_GBK" w:hAnsi="方正仿宋_GBK" w:eastAsia="方正仿宋_GBK" w:cs="方正仿宋_GBK"/>
          <w:color w:val="auto"/>
          <w:sz w:val="24"/>
          <w:highlight w:val="none"/>
        </w:rPr>
      </w:pPr>
      <w:bookmarkStart w:id="78" w:name="_Toc344475124"/>
      <w:bookmarkStart w:id="79" w:name="_Toc5681"/>
      <w:bookmarkStart w:id="80" w:name="_Toc106030886"/>
      <w:bookmarkStart w:id="81" w:name="_Toc76462331"/>
      <w:r>
        <w:rPr>
          <w:rFonts w:hint="eastAsia" w:ascii="方正仿宋_GBK" w:hAnsi="方正仿宋_GBK" w:eastAsia="方正仿宋_GBK" w:cs="方正仿宋_GBK"/>
          <w:color w:val="auto"/>
          <w:sz w:val="24"/>
          <w:highlight w:val="none"/>
          <w:lang w:val="en-US" w:eastAsia="zh-CN"/>
        </w:rPr>
        <w:t>六</w:t>
      </w:r>
      <w:r>
        <w:rPr>
          <w:rFonts w:hint="eastAsia" w:ascii="方正仿宋_GBK" w:hAnsi="方正仿宋_GBK" w:eastAsia="方正仿宋_GBK" w:cs="方正仿宋_GBK"/>
          <w:color w:val="auto"/>
          <w:sz w:val="24"/>
          <w:highlight w:val="none"/>
        </w:rPr>
        <w:t>、</w:t>
      </w:r>
      <w:bookmarkEnd w:id="78"/>
      <w:bookmarkStart w:id="82" w:name="_Toc344475125"/>
      <w:r>
        <w:rPr>
          <w:rFonts w:hint="eastAsia" w:ascii="方正仿宋_GBK" w:hAnsi="方正仿宋_GBK" w:eastAsia="方正仿宋_GBK" w:cs="方正仿宋_GBK"/>
          <w:color w:val="auto"/>
          <w:sz w:val="24"/>
          <w:highlight w:val="none"/>
        </w:rPr>
        <w:t>其他</w:t>
      </w:r>
      <w:bookmarkEnd w:id="79"/>
      <w:bookmarkEnd w:id="80"/>
      <w:bookmarkEnd w:id="81"/>
    </w:p>
    <w:bookmarkEnd w:id="82"/>
    <w:p w14:paraId="71C22161">
      <w:pPr>
        <w:pageBreakBefore w:val="0"/>
        <w:widowControl w:val="0"/>
        <w:kinsoku/>
        <w:wordWrap/>
        <w:overflowPunct/>
        <w:topLinePunct w:val="0"/>
        <w:autoSpaceDE/>
        <w:autoSpaceDN/>
        <w:bidi w:val="0"/>
        <w:snapToGrid w:val="0"/>
        <w:spacing w:line="400" w:lineRule="exact"/>
        <w:ind w:firstLine="540"/>
        <w:textAlignment w:val="auto"/>
        <w:rPr>
          <w:rFonts w:hint="eastAsia" w:ascii="方正仿宋_GBK" w:hAnsi="宋体" w:eastAsia="方正仿宋_GBK" w:cs="Times New Roman"/>
          <w:color w:val="auto"/>
          <w:sz w:val="24"/>
          <w:szCs w:val="24"/>
          <w:highlight w:val="none"/>
        </w:rPr>
      </w:pPr>
      <w:r>
        <w:rPr>
          <w:rFonts w:hint="eastAsia" w:ascii="方正仿宋_GBK" w:hAnsi="宋体" w:eastAsia="方正仿宋_GBK" w:cs="Times New Roman"/>
          <w:color w:val="auto"/>
          <w:sz w:val="24"/>
          <w:szCs w:val="24"/>
          <w:highlight w:val="none"/>
        </w:rPr>
        <w:t>（一）供应商必须在响应文件中对以上条款和服务承诺明确列出，承诺内容必须达到本篇及竞争性磋商文件其他条款的要求。</w:t>
      </w:r>
    </w:p>
    <w:p w14:paraId="4AF57C5C">
      <w:pPr>
        <w:pageBreakBefore w:val="0"/>
        <w:widowControl w:val="0"/>
        <w:kinsoku/>
        <w:wordWrap/>
        <w:overflowPunct/>
        <w:topLinePunct w:val="0"/>
        <w:autoSpaceDE/>
        <w:autoSpaceDN/>
        <w:bidi w:val="0"/>
        <w:snapToGrid w:val="0"/>
        <w:spacing w:line="400" w:lineRule="exact"/>
        <w:ind w:firstLine="540"/>
        <w:textAlignment w:val="auto"/>
        <w:rPr>
          <w:rFonts w:hint="eastAsia" w:ascii="方正仿宋_GBK" w:hAnsi="方正仿宋_GBK" w:eastAsia="方正仿宋_GBK" w:cs="方正仿宋_GBK"/>
          <w:color w:val="auto"/>
          <w:sz w:val="24"/>
          <w:szCs w:val="24"/>
          <w:highlight w:val="none"/>
        </w:rPr>
      </w:pPr>
      <w:r>
        <w:rPr>
          <w:rFonts w:hint="eastAsia" w:ascii="方正仿宋_GBK" w:hAnsi="宋体" w:eastAsia="方正仿宋_GBK" w:cs="Times New Roman"/>
          <w:color w:val="auto"/>
          <w:sz w:val="24"/>
          <w:szCs w:val="24"/>
          <w:highlight w:val="none"/>
        </w:rPr>
        <w:t>（二）其他未尽事宜由供需双方在采购合同中详细约定。</w:t>
      </w:r>
    </w:p>
    <w:p w14:paraId="19A1C777">
      <w:pPr>
        <w:pStyle w:val="3"/>
        <w:pageBreakBefore/>
        <w:spacing w:before="0" w:after="0" w:line="360" w:lineRule="auto"/>
        <w:jc w:val="center"/>
        <w:rPr>
          <w:rFonts w:hint="eastAsia" w:ascii="方正小标宋_GBK" w:hAnsi="宋体" w:eastAsia="方正小标宋_GBK"/>
          <w:b w:val="0"/>
          <w:color w:val="auto"/>
          <w:sz w:val="36"/>
          <w:szCs w:val="30"/>
          <w:highlight w:val="none"/>
        </w:rPr>
      </w:pPr>
      <w:bookmarkStart w:id="83" w:name="_Toc23667"/>
      <w:bookmarkStart w:id="84" w:name="_Toc106030887"/>
      <w:bookmarkStart w:id="85" w:name="_Toc76462332"/>
      <w:r>
        <w:rPr>
          <w:rFonts w:hint="eastAsia" w:ascii="方正小标宋_GBK" w:hAnsi="宋体" w:eastAsia="方正小标宋_GBK"/>
          <w:b w:val="0"/>
          <w:color w:val="auto"/>
          <w:sz w:val="36"/>
          <w:szCs w:val="30"/>
          <w:highlight w:val="none"/>
        </w:rPr>
        <w:t>第四篇  磋商程序及方法、评审标准、无效响应和</w:t>
      </w:r>
      <w:r>
        <w:rPr>
          <w:rFonts w:hint="eastAsia" w:ascii="方正小标宋_GBK" w:eastAsia="方正小标宋_GBK"/>
          <w:b w:val="0"/>
          <w:color w:val="auto"/>
          <w:sz w:val="36"/>
          <w:szCs w:val="36"/>
          <w:highlight w:val="none"/>
        </w:rPr>
        <w:t>采购终止</w:t>
      </w:r>
      <w:bookmarkEnd w:id="83"/>
      <w:bookmarkEnd w:id="84"/>
      <w:bookmarkEnd w:id="85"/>
    </w:p>
    <w:p w14:paraId="763F00B9">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86" w:name="_Toc106030888"/>
      <w:bookmarkStart w:id="87" w:name="_Toc76462333"/>
      <w:bookmarkStart w:id="88" w:name="_Toc1394"/>
      <w:r>
        <w:rPr>
          <w:rFonts w:hint="eastAsia" w:ascii="方正仿宋_GBK" w:hAnsi="宋体" w:eastAsia="方正仿宋_GBK"/>
          <w:color w:val="auto"/>
          <w:sz w:val="24"/>
          <w:highlight w:val="none"/>
        </w:rPr>
        <w:t>一、磋商程序及方法</w:t>
      </w:r>
      <w:bookmarkEnd w:id="86"/>
      <w:bookmarkEnd w:id="87"/>
      <w:bookmarkEnd w:id="88"/>
    </w:p>
    <w:p w14:paraId="557BB244">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磋商按竞争性磋商文件规定的时间和地点进行，供应商须有法定代表人（或其授权代表）或自然人参加并签到。竞争性磋商以抽签的形式确定磋商顺序，由本项目依法组建的竞争性磋商小组（以下简称磋商小组）分别与各供应商进行磋商。</w:t>
      </w:r>
    </w:p>
    <w:p w14:paraId="7E6744F8">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（二）磋商小组对各供应商的资格条件、响应文件的有效性、完整性和响应程度进行审查。各供应商只有在完全符合要求的前提下，才能参与正式磋商。</w:t>
      </w:r>
    </w:p>
    <w:p w14:paraId="7F9C585F">
      <w:pPr>
        <w:snapToGrid w:val="0"/>
        <w:spacing w:line="400" w:lineRule="exact"/>
        <w:ind w:firstLine="480" w:firstLineChars="200"/>
        <w:rPr>
          <w:rFonts w:ascii="方正仿宋_GBK" w:hAnsi="宋体" w:eastAsia="方正仿宋_GBK" w:cs="宋体"/>
          <w:color w:val="auto"/>
          <w:kern w:val="0"/>
          <w:sz w:val="24"/>
          <w:szCs w:val="24"/>
          <w:highlight w:val="none"/>
        </w:rPr>
      </w:pPr>
      <w:r>
        <w:rPr>
          <w:rFonts w:hint="eastAsia" w:ascii="方正仿宋_GBK" w:hAnsi="宋体" w:eastAsia="方正仿宋_GBK"/>
          <w:color w:val="auto"/>
          <w:sz w:val="24"/>
          <w:szCs w:val="24"/>
          <w:highlight w:val="none"/>
        </w:rPr>
        <w:t>1.</w:t>
      </w:r>
      <w:r>
        <w:rPr>
          <w:rFonts w:hint="eastAsia" w:ascii="方正仿宋_GBK" w:hAnsi="宋体" w:eastAsia="方正仿宋_GBK" w:cs="宋体"/>
          <w:color w:val="auto"/>
          <w:kern w:val="0"/>
          <w:sz w:val="24"/>
          <w:szCs w:val="24"/>
          <w:highlight w:val="none"/>
        </w:rPr>
        <w:t>资格性审查。依据法律法规和竞争性磋商文件的规定，对响应文件中的资格证明、等进行审查，以确定供应商是否具备磋商资格。资格性审查资料表如下：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84"/>
        <w:gridCol w:w="3413"/>
        <w:gridCol w:w="3914"/>
      </w:tblGrid>
      <w:tr w14:paraId="45E5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3FA94E9">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序号</w:t>
            </w:r>
          </w:p>
        </w:tc>
        <w:tc>
          <w:tcPr>
            <w:tcW w:w="4897" w:type="dxa"/>
            <w:gridSpan w:val="2"/>
            <w:tcBorders>
              <w:top w:val="single" w:color="auto" w:sz="4" w:space="0"/>
              <w:left w:val="single" w:color="auto" w:sz="4" w:space="0"/>
              <w:bottom w:val="single" w:color="auto" w:sz="4" w:space="0"/>
              <w:right w:val="single" w:color="auto" w:sz="4" w:space="0"/>
            </w:tcBorders>
            <w:noWrap w:val="0"/>
            <w:vAlign w:val="center"/>
          </w:tcPr>
          <w:p w14:paraId="6A6ED87C">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检查因素</w:t>
            </w:r>
          </w:p>
        </w:tc>
        <w:tc>
          <w:tcPr>
            <w:tcW w:w="3914" w:type="dxa"/>
            <w:tcBorders>
              <w:top w:val="single" w:color="auto" w:sz="4" w:space="0"/>
              <w:left w:val="single" w:color="auto" w:sz="4" w:space="0"/>
              <w:bottom w:val="single" w:color="auto" w:sz="4" w:space="0"/>
              <w:right w:val="single" w:color="auto" w:sz="4" w:space="0"/>
            </w:tcBorders>
            <w:noWrap w:val="0"/>
            <w:vAlign w:val="center"/>
          </w:tcPr>
          <w:p w14:paraId="37F46014">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检查内容</w:t>
            </w:r>
          </w:p>
        </w:tc>
      </w:tr>
      <w:tr w14:paraId="5A6C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3EFB06AC">
            <w:pPr>
              <w:jc w:val="center"/>
              <w:rPr>
                <w:rFonts w:hint="eastAsia"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（一）</w:t>
            </w:r>
          </w:p>
        </w:tc>
        <w:tc>
          <w:tcPr>
            <w:tcW w:w="1484" w:type="dxa"/>
            <w:vMerge w:val="restart"/>
            <w:noWrap w:val="0"/>
            <w:vAlign w:val="center"/>
          </w:tcPr>
          <w:p w14:paraId="7483AB4D">
            <w:pPr>
              <w:rPr>
                <w:rFonts w:hint="eastAsia" w:ascii="方正仿宋_GBK" w:hAnsi="仿宋" w:eastAsia="方正仿宋_GBK" w:cs="仿宋_GB2312"/>
                <w:color w:val="auto"/>
                <w:sz w:val="21"/>
                <w:szCs w:val="21"/>
                <w:highlight w:val="none"/>
                <w:lang w:val="zh-CN"/>
              </w:rPr>
            </w:pPr>
            <w:r>
              <w:rPr>
                <w:rFonts w:hint="eastAsia" w:ascii="方正仿宋_GBK" w:hAnsi="仿宋" w:eastAsia="方正仿宋_GBK" w:cs="仿宋_GB2312"/>
                <w:color w:val="auto"/>
                <w:sz w:val="21"/>
                <w:szCs w:val="21"/>
                <w:highlight w:val="none"/>
                <w:lang w:val="zh-CN"/>
              </w:rPr>
              <w:t>《中华人民共和国政府采购法》第二十二条规定</w:t>
            </w:r>
          </w:p>
        </w:tc>
        <w:tc>
          <w:tcPr>
            <w:tcW w:w="3413" w:type="dxa"/>
            <w:noWrap w:val="0"/>
            <w:vAlign w:val="center"/>
          </w:tcPr>
          <w:p w14:paraId="1E2ED7C8">
            <w:pPr>
              <w:rPr>
                <w:rFonts w:hint="eastAsia"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1.具有独立承担民事责任的能力</w:t>
            </w:r>
          </w:p>
        </w:tc>
        <w:tc>
          <w:tcPr>
            <w:tcW w:w="3914" w:type="dxa"/>
            <w:noWrap w:val="0"/>
            <w:vAlign w:val="center"/>
          </w:tcPr>
          <w:p w14:paraId="69F4B96E">
            <w:pPr>
              <w:rPr>
                <w:rFonts w:hint="eastAsia" w:ascii="方正仿宋_GBK" w:hAnsi="仿宋" w:eastAsia="方正仿宋_GBK"/>
                <w:color w:val="auto"/>
                <w:sz w:val="21"/>
                <w:szCs w:val="21"/>
                <w:highlight w:val="none"/>
                <w:lang w:eastAsia="zh-CN"/>
              </w:rPr>
            </w:pPr>
            <w:r>
              <w:rPr>
                <w:rFonts w:hint="eastAsia" w:ascii="方正仿宋_GBK" w:hAnsi="仿宋" w:eastAsia="方正仿宋_GBK"/>
                <w:color w:val="auto"/>
                <w:sz w:val="21"/>
                <w:szCs w:val="21"/>
                <w:highlight w:val="none"/>
              </w:rPr>
              <w:t>1.供应商法人营业执照（副本）或事业单位法人证书（副本）或个体工商户营业执照或有效的自然人身份证明或社会团体法人登记证书（提供复印件）。</w:t>
            </w:r>
          </w:p>
          <w:p w14:paraId="033AF1BA">
            <w:pPr>
              <w:rPr>
                <w:rFonts w:hint="eastAsia"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2.供应商法定代表人身份证明和法定代表人授权代表委托书。</w:t>
            </w:r>
          </w:p>
        </w:tc>
      </w:tr>
      <w:tr w14:paraId="6922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E579BA7">
            <w:pPr>
              <w:jc w:val="center"/>
              <w:rPr>
                <w:rFonts w:hint="eastAsia" w:ascii="方正仿宋_GBK" w:hAnsi="仿宋" w:eastAsia="方正仿宋_GBK"/>
                <w:color w:val="auto"/>
                <w:sz w:val="21"/>
                <w:szCs w:val="21"/>
                <w:highlight w:val="none"/>
              </w:rPr>
            </w:pPr>
          </w:p>
        </w:tc>
        <w:tc>
          <w:tcPr>
            <w:tcW w:w="1484" w:type="dxa"/>
            <w:vMerge w:val="continue"/>
            <w:noWrap w:val="0"/>
            <w:vAlign w:val="center"/>
          </w:tcPr>
          <w:p w14:paraId="7DAF197F">
            <w:pPr>
              <w:rPr>
                <w:rFonts w:hint="eastAsia" w:ascii="方正仿宋_GBK" w:hAnsi="仿宋" w:eastAsia="方正仿宋_GBK" w:cs="仿宋_GB2312"/>
                <w:color w:val="auto"/>
                <w:sz w:val="21"/>
                <w:szCs w:val="21"/>
                <w:highlight w:val="none"/>
                <w:lang w:val="zh-CN"/>
              </w:rPr>
            </w:pPr>
          </w:p>
        </w:tc>
        <w:tc>
          <w:tcPr>
            <w:tcW w:w="3413" w:type="dxa"/>
            <w:noWrap w:val="0"/>
            <w:vAlign w:val="center"/>
          </w:tcPr>
          <w:p w14:paraId="41662ECE">
            <w:pPr>
              <w:rPr>
                <w:rFonts w:hint="eastAsia" w:ascii="方正仿宋_GBK" w:hAnsi="仿宋" w:eastAsia="方正仿宋_GBK"/>
                <w:color w:val="auto"/>
                <w:sz w:val="21"/>
                <w:szCs w:val="21"/>
                <w:highlight w:val="none"/>
              </w:rPr>
            </w:pPr>
            <w:r>
              <w:rPr>
                <w:rFonts w:hint="eastAsia" w:ascii="方正仿宋_GBK" w:hAnsi="仿宋" w:eastAsia="方正仿宋_GBK" w:cs="仿宋_GB2312"/>
                <w:color w:val="auto"/>
                <w:sz w:val="21"/>
                <w:szCs w:val="21"/>
                <w:highlight w:val="none"/>
                <w:lang w:val="zh-CN"/>
              </w:rPr>
              <w:t>2.</w:t>
            </w:r>
            <w:r>
              <w:rPr>
                <w:rFonts w:hint="eastAsia" w:ascii="方正仿宋_GBK" w:hAnsi="仿宋" w:eastAsia="方正仿宋_GBK"/>
                <w:color w:val="auto"/>
                <w:sz w:val="21"/>
                <w:szCs w:val="21"/>
                <w:highlight w:val="none"/>
              </w:rPr>
              <w:t>具有良好的商业信誉和健全的财务会计制度</w:t>
            </w:r>
          </w:p>
        </w:tc>
        <w:tc>
          <w:tcPr>
            <w:tcW w:w="3914" w:type="dxa"/>
            <w:vMerge w:val="restart"/>
            <w:noWrap w:val="0"/>
            <w:vAlign w:val="center"/>
          </w:tcPr>
          <w:p w14:paraId="44703578">
            <w:pPr>
              <w:rPr>
                <w:rFonts w:hint="eastAsia" w:ascii="方正仿宋_GBK" w:hAnsi="仿宋" w:eastAsia="方正仿宋_GBK"/>
                <w:b/>
                <w:color w:val="auto"/>
                <w:sz w:val="21"/>
                <w:szCs w:val="21"/>
                <w:highlight w:val="none"/>
              </w:rPr>
            </w:pPr>
            <w:r>
              <w:rPr>
                <w:rFonts w:hint="eastAsia" w:ascii="方正仿宋_GBK" w:hAnsi="仿宋" w:eastAsia="方正仿宋_GBK"/>
                <w:color w:val="auto"/>
                <w:sz w:val="21"/>
                <w:szCs w:val="21"/>
                <w:highlight w:val="none"/>
              </w:rPr>
              <w:t>供应商提供“基本资格条件承诺函”（格式详见第七篇）</w:t>
            </w:r>
          </w:p>
        </w:tc>
      </w:tr>
      <w:tr w14:paraId="3C79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358A0DE">
            <w:pPr>
              <w:jc w:val="center"/>
              <w:rPr>
                <w:rFonts w:hint="eastAsia" w:ascii="方正仿宋_GBK" w:hAnsi="仿宋" w:eastAsia="方正仿宋_GBK"/>
                <w:color w:val="auto"/>
                <w:sz w:val="21"/>
                <w:szCs w:val="21"/>
                <w:highlight w:val="none"/>
              </w:rPr>
            </w:pPr>
          </w:p>
        </w:tc>
        <w:tc>
          <w:tcPr>
            <w:tcW w:w="1484" w:type="dxa"/>
            <w:vMerge w:val="continue"/>
            <w:noWrap w:val="0"/>
            <w:vAlign w:val="center"/>
          </w:tcPr>
          <w:p w14:paraId="251DC84D">
            <w:pPr>
              <w:rPr>
                <w:rFonts w:hint="eastAsia" w:ascii="方正仿宋_GBK" w:hAnsi="仿宋" w:eastAsia="方正仿宋_GBK" w:cs="仿宋_GB2312"/>
                <w:color w:val="auto"/>
                <w:sz w:val="21"/>
                <w:szCs w:val="21"/>
                <w:highlight w:val="none"/>
                <w:lang w:val="zh-CN"/>
              </w:rPr>
            </w:pPr>
          </w:p>
        </w:tc>
        <w:tc>
          <w:tcPr>
            <w:tcW w:w="3413" w:type="dxa"/>
            <w:noWrap w:val="0"/>
            <w:vAlign w:val="center"/>
          </w:tcPr>
          <w:p w14:paraId="00A31011">
            <w:pPr>
              <w:rPr>
                <w:rFonts w:hint="eastAsia" w:ascii="方正仿宋_GBK" w:hAnsi="仿宋" w:eastAsia="方正仿宋_GBK" w:cs="仿宋_GB2312"/>
                <w:color w:val="auto"/>
                <w:sz w:val="21"/>
                <w:szCs w:val="21"/>
                <w:highlight w:val="none"/>
                <w:lang w:val="zh-CN"/>
              </w:rPr>
            </w:pPr>
            <w:r>
              <w:rPr>
                <w:rFonts w:hint="eastAsia" w:ascii="方正仿宋_GBK" w:hAnsi="仿宋" w:eastAsia="方正仿宋_GBK" w:cs="仿宋_GB2312"/>
                <w:color w:val="auto"/>
                <w:sz w:val="21"/>
                <w:szCs w:val="21"/>
                <w:highlight w:val="none"/>
                <w:lang w:val="zh-CN"/>
              </w:rPr>
              <w:t>3.具有履行合同所必需的设备和专业技术能力</w:t>
            </w:r>
          </w:p>
        </w:tc>
        <w:tc>
          <w:tcPr>
            <w:tcW w:w="3914" w:type="dxa"/>
            <w:vMerge w:val="continue"/>
            <w:noWrap w:val="0"/>
            <w:vAlign w:val="center"/>
          </w:tcPr>
          <w:p w14:paraId="123DF1BF">
            <w:pPr>
              <w:rPr>
                <w:rFonts w:hint="eastAsia" w:ascii="方正仿宋_GBK" w:hAnsi="仿宋" w:eastAsia="方正仿宋_GBK"/>
                <w:color w:val="auto"/>
                <w:sz w:val="21"/>
                <w:szCs w:val="21"/>
                <w:highlight w:val="none"/>
              </w:rPr>
            </w:pPr>
          </w:p>
        </w:tc>
      </w:tr>
      <w:tr w14:paraId="06CA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3E21C699">
            <w:pPr>
              <w:jc w:val="center"/>
              <w:rPr>
                <w:rFonts w:hint="eastAsia" w:ascii="方正仿宋_GBK" w:hAnsi="仿宋" w:eastAsia="方正仿宋_GBK"/>
                <w:color w:val="auto"/>
                <w:sz w:val="21"/>
                <w:szCs w:val="21"/>
                <w:highlight w:val="none"/>
              </w:rPr>
            </w:pPr>
          </w:p>
        </w:tc>
        <w:tc>
          <w:tcPr>
            <w:tcW w:w="1484" w:type="dxa"/>
            <w:vMerge w:val="continue"/>
            <w:noWrap w:val="0"/>
            <w:vAlign w:val="center"/>
          </w:tcPr>
          <w:p w14:paraId="1C314424">
            <w:pPr>
              <w:rPr>
                <w:rFonts w:hint="eastAsia" w:ascii="方正仿宋_GBK" w:hAnsi="仿宋" w:eastAsia="方正仿宋_GBK" w:cs="仿宋_GB2312"/>
                <w:color w:val="auto"/>
                <w:sz w:val="21"/>
                <w:szCs w:val="21"/>
                <w:highlight w:val="none"/>
                <w:lang w:val="zh-CN"/>
              </w:rPr>
            </w:pPr>
          </w:p>
        </w:tc>
        <w:tc>
          <w:tcPr>
            <w:tcW w:w="3413" w:type="dxa"/>
            <w:noWrap w:val="0"/>
            <w:vAlign w:val="center"/>
          </w:tcPr>
          <w:p w14:paraId="5FE20458">
            <w:pPr>
              <w:rPr>
                <w:rFonts w:hint="eastAsia" w:ascii="方正仿宋_GBK" w:hAnsi="仿宋" w:eastAsia="方正仿宋_GBK" w:cs="仿宋_GB2312"/>
                <w:color w:val="auto"/>
                <w:sz w:val="21"/>
                <w:szCs w:val="21"/>
                <w:highlight w:val="none"/>
                <w:lang w:val="zh-CN"/>
              </w:rPr>
            </w:pPr>
            <w:r>
              <w:rPr>
                <w:rFonts w:hint="eastAsia" w:ascii="方正仿宋_GBK" w:hAnsi="仿宋" w:eastAsia="方正仿宋_GBK" w:cs="仿宋_GB2312"/>
                <w:color w:val="auto"/>
                <w:sz w:val="21"/>
                <w:szCs w:val="21"/>
                <w:highlight w:val="none"/>
                <w:lang w:val="zh-CN"/>
              </w:rPr>
              <w:t>4.有依法缴纳税收和社会保障金的良好记录</w:t>
            </w:r>
          </w:p>
        </w:tc>
        <w:tc>
          <w:tcPr>
            <w:tcW w:w="3914" w:type="dxa"/>
            <w:vMerge w:val="continue"/>
            <w:noWrap w:val="0"/>
            <w:vAlign w:val="center"/>
          </w:tcPr>
          <w:p w14:paraId="1A3C9F5C">
            <w:pPr>
              <w:rPr>
                <w:rFonts w:hint="eastAsia" w:ascii="方正仿宋_GBK" w:hAnsi="仿宋" w:eastAsia="方正仿宋_GBK"/>
                <w:color w:val="auto"/>
                <w:sz w:val="21"/>
                <w:szCs w:val="21"/>
                <w:highlight w:val="none"/>
              </w:rPr>
            </w:pPr>
          </w:p>
        </w:tc>
      </w:tr>
      <w:tr w14:paraId="6873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3AD9A09D">
            <w:pPr>
              <w:jc w:val="center"/>
              <w:rPr>
                <w:rFonts w:hint="eastAsia" w:ascii="方正仿宋_GBK" w:hAnsi="仿宋" w:eastAsia="方正仿宋_GBK"/>
                <w:color w:val="auto"/>
                <w:sz w:val="21"/>
                <w:szCs w:val="21"/>
                <w:highlight w:val="none"/>
              </w:rPr>
            </w:pPr>
          </w:p>
        </w:tc>
        <w:tc>
          <w:tcPr>
            <w:tcW w:w="1484" w:type="dxa"/>
            <w:vMerge w:val="continue"/>
            <w:noWrap w:val="0"/>
            <w:vAlign w:val="center"/>
          </w:tcPr>
          <w:p w14:paraId="7E83553B">
            <w:pPr>
              <w:rPr>
                <w:rFonts w:hint="eastAsia" w:ascii="方正仿宋_GBK" w:hAnsi="仿宋" w:eastAsia="方正仿宋_GBK" w:cs="仿宋_GB2312"/>
                <w:color w:val="auto"/>
                <w:sz w:val="21"/>
                <w:szCs w:val="21"/>
                <w:highlight w:val="none"/>
                <w:lang w:val="zh-CN"/>
              </w:rPr>
            </w:pPr>
          </w:p>
        </w:tc>
        <w:tc>
          <w:tcPr>
            <w:tcW w:w="3413" w:type="dxa"/>
            <w:noWrap w:val="0"/>
            <w:vAlign w:val="center"/>
          </w:tcPr>
          <w:p w14:paraId="330A6034">
            <w:pPr>
              <w:rPr>
                <w:rFonts w:hint="eastAsia" w:ascii="方正仿宋_GBK" w:hAnsi="仿宋" w:eastAsia="方正仿宋_GBK" w:cs="仿宋_GB2312"/>
                <w:color w:val="auto"/>
                <w:sz w:val="21"/>
                <w:szCs w:val="21"/>
                <w:highlight w:val="none"/>
                <w:lang w:val="zh-CN"/>
              </w:rPr>
            </w:pPr>
            <w:r>
              <w:rPr>
                <w:rFonts w:hint="eastAsia" w:ascii="方正仿宋_GBK" w:hAnsi="仿宋" w:eastAsia="方正仿宋_GBK"/>
                <w:color w:val="auto"/>
                <w:sz w:val="21"/>
                <w:szCs w:val="21"/>
                <w:highlight w:val="none"/>
              </w:rPr>
              <w:t>5.参加政府采购活动前三年内，在经营活动中没有重大违法记录</w:t>
            </w:r>
          </w:p>
        </w:tc>
        <w:tc>
          <w:tcPr>
            <w:tcW w:w="3914" w:type="dxa"/>
            <w:vMerge w:val="continue"/>
            <w:noWrap w:val="0"/>
            <w:vAlign w:val="center"/>
          </w:tcPr>
          <w:p w14:paraId="5E633CAC">
            <w:pPr>
              <w:rPr>
                <w:rFonts w:hint="eastAsia" w:ascii="方正仿宋_GBK" w:hAnsi="仿宋" w:eastAsia="方正仿宋_GBK"/>
                <w:b/>
                <w:color w:val="auto"/>
                <w:sz w:val="21"/>
                <w:szCs w:val="21"/>
                <w:highlight w:val="none"/>
              </w:rPr>
            </w:pPr>
          </w:p>
        </w:tc>
      </w:tr>
      <w:tr w14:paraId="6DB0B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14:paraId="393FEA48">
            <w:pPr>
              <w:jc w:val="center"/>
              <w:rPr>
                <w:rFonts w:hint="eastAsia" w:ascii="方正仿宋_GBK" w:hAnsi="仿宋" w:eastAsia="方正仿宋_GBK"/>
                <w:color w:val="auto"/>
                <w:sz w:val="21"/>
                <w:szCs w:val="21"/>
                <w:highlight w:val="none"/>
              </w:rPr>
            </w:pPr>
          </w:p>
        </w:tc>
        <w:tc>
          <w:tcPr>
            <w:tcW w:w="1484" w:type="dxa"/>
            <w:vMerge w:val="continue"/>
            <w:noWrap w:val="0"/>
            <w:vAlign w:val="center"/>
          </w:tcPr>
          <w:p w14:paraId="476D2063">
            <w:pPr>
              <w:rPr>
                <w:rFonts w:hint="eastAsia" w:ascii="方正仿宋_GBK" w:hAnsi="仿宋" w:eastAsia="方正仿宋_GBK" w:cs="仿宋_GB2312"/>
                <w:color w:val="auto"/>
                <w:sz w:val="21"/>
                <w:szCs w:val="21"/>
                <w:highlight w:val="none"/>
              </w:rPr>
            </w:pPr>
          </w:p>
        </w:tc>
        <w:tc>
          <w:tcPr>
            <w:tcW w:w="3413" w:type="dxa"/>
            <w:noWrap w:val="0"/>
            <w:vAlign w:val="center"/>
          </w:tcPr>
          <w:p w14:paraId="7974BC7B">
            <w:pPr>
              <w:rPr>
                <w:rFonts w:hint="eastAsia"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6.法律、行政法规规定的其他条件</w:t>
            </w:r>
          </w:p>
        </w:tc>
        <w:tc>
          <w:tcPr>
            <w:tcW w:w="3914" w:type="dxa"/>
            <w:noWrap w:val="0"/>
            <w:vAlign w:val="center"/>
          </w:tcPr>
          <w:p w14:paraId="5C3B068F">
            <w:pPr>
              <w:rPr>
                <w:rFonts w:hint="eastAsia" w:ascii="方正仿宋_GBK" w:hAnsi="仿宋" w:eastAsia="方正仿宋_GBK"/>
                <w:color w:val="auto"/>
                <w:sz w:val="21"/>
                <w:szCs w:val="21"/>
                <w:highlight w:val="none"/>
              </w:rPr>
            </w:pPr>
          </w:p>
        </w:tc>
      </w:tr>
      <w:tr w14:paraId="097B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3FEAB7C">
            <w:pPr>
              <w:jc w:val="center"/>
              <w:rPr>
                <w:rFonts w:hint="eastAsia" w:ascii="方正仿宋_GBK" w:hAnsi="仿宋" w:eastAsia="方正仿宋_GBK"/>
                <w:color w:val="auto"/>
                <w:sz w:val="21"/>
                <w:szCs w:val="21"/>
                <w:highlight w:val="none"/>
                <w:lang w:eastAsia="zh-CN"/>
              </w:rPr>
            </w:pPr>
            <w:r>
              <w:rPr>
                <w:rFonts w:hint="eastAsia" w:ascii="方正仿宋_GBK" w:hAnsi="仿宋" w:eastAsia="方正仿宋_GBK"/>
                <w:color w:val="auto"/>
                <w:sz w:val="21"/>
                <w:szCs w:val="21"/>
                <w:highlight w:val="none"/>
                <w:lang w:eastAsia="zh-CN"/>
              </w:rPr>
              <w:t>（</w:t>
            </w:r>
            <w:r>
              <w:rPr>
                <w:rFonts w:hint="eastAsia" w:ascii="方正仿宋_GBK" w:hAnsi="仿宋" w:eastAsia="方正仿宋_GBK"/>
                <w:color w:val="auto"/>
                <w:sz w:val="21"/>
                <w:szCs w:val="21"/>
                <w:highlight w:val="none"/>
                <w:lang w:val="en-US" w:eastAsia="zh-CN"/>
              </w:rPr>
              <w:t>二</w:t>
            </w:r>
            <w:r>
              <w:rPr>
                <w:rFonts w:hint="eastAsia" w:ascii="方正仿宋_GBK" w:hAnsi="仿宋" w:eastAsia="方正仿宋_GBK"/>
                <w:color w:val="auto"/>
                <w:sz w:val="21"/>
                <w:szCs w:val="21"/>
                <w:highlight w:val="none"/>
                <w:lang w:eastAsia="zh-CN"/>
              </w:rPr>
              <w:t>）</w:t>
            </w:r>
          </w:p>
        </w:tc>
        <w:tc>
          <w:tcPr>
            <w:tcW w:w="1484" w:type="dxa"/>
            <w:noWrap w:val="0"/>
            <w:vAlign w:val="center"/>
          </w:tcPr>
          <w:p w14:paraId="10604C41">
            <w:pPr>
              <w:rPr>
                <w:rFonts w:hint="eastAsia" w:ascii="方正仿宋_GBK" w:hAnsi="仿宋" w:eastAsia="方正仿宋_GBK"/>
                <w:color w:val="auto"/>
                <w:sz w:val="21"/>
                <w:szCs w:val="21"/>
                <w:highlight w:val="none"/>
              </w:rPr>
            </w:pPr>
            <w:r>
              <w:rPr>
                <w:rFonts w:hint="eastAsia" w:ascii="方正仿宋_GBK" w:hAnsi="仿宋" w:eastAsia="方正仿宋_GBK"/>
                <w:color w:val="auto"/>
                <w:sz w:val="21"/>
                <w:szCs w:val="21"/>
                <w:highlight w:val="none"/>
              </w:rPr>
              <w:t>本项目的特定资格要求</w:t>
            </w:r>
          </w:p>
        </w:tc>
        <w:tc>
          <w:tcPr>
            <w:tcW w:w="7327" w:type="dxa"/>
            <w:gridSpan w:val="2"/>
            <w:noWrap w:val="0"/>
            <w:vAlign w:val="center"/>
          </w:tcPr>
          <w:p w14:paraId="20CD8EDB">
            <w:pPr>
              <w:spacing w:line="0" w:lineRule="atLeast"/>
              <w:rPr>
                <w:rFonts w:hint="default" w:ascii="方正仿宋_GBK" w:hAnsi="仿宋" w:eastAsia="方正仿宋_GBK" w:cs="Times New Roman"/>
                <w:color w:val="auto"/>
                <w:kern w:val="2"/>
                <w:sz w:val="21"/>
                <w:szCs w:val="21"/>
                <w:highlight w:val="none"/>
                <w:lang w:val="en-US" w:eastAsia="zh-CN" w:bidi="ar-SA"/>
              </w:rPr>
            </w:pPr>
            <w:r>
              <w:rPr>
                <w:rFonts w:hint="default" w:ascii="方正仿宋_GBK" w:hAnsi="仿宋" w:eastAsia="方正仿宋_GBK" w:cs="Times New Roman"/>
                <w:color w:val="auto"/>
                <w:kern w:val="2"/>
                <w:sz w:val="21"/>
                <w:szCs w:val="21"/>
                <w:highlight w:val="none"/>
                <w:lang w:val="en-US" w:eastAsia="zh-CN" w:bidi="ar-SA"/>
              </w:rPr>
              <w:t>按“第一篇三、供应商资格要求（三）本项目的特定资格要求”的要求提交（如果有）。</w:t>
            </w:r>
          </w:p>
        </w:tc>
      </w:tr>
    </w:tbl>
    <w:p w14:paraId="497E1559">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hint="eastAsia" w:ascii="方正仿宋_GBK" w:hAnsi="宋体" w:eastAsia="方正仿宋_GBK" w:cs="宋体"/>
          <w:color w:val="auto"/>
          <w:kern w:val="0"/>
          <w:sz w:val="24"/>
          <w:szCs w:val="24"/>
          <w:highlight w:val="none"/>
        </w:rPr>
        <w:t>注：</w:t>
      </w:r>
    </w:p>
    <w:p w14:paraId="7DA4DA50">
      <w:pPr>
        <w:snapToGrid w:val="0"/>
        <w:spacing w:line="400" w:lineRule="exact"/>
        <w:ind w:firstLine="480" w:firstLineChars="200"/>
        <w:rPr>
          <w:rFonts w:hint="eastAsia" w:ascii="方正仿宋_GBK" w:hAnsi="宋体" w:eastAsia="方正仿宋_GBK" w:cs="宋体"/>
          <w:color w:val="auto"/>
          <w:kern w:val="0"/>
          <w:sz w:val="24"/>
          <w:szCs w:val="24"/>
          <w:highlight w:val="none"/>
        </w:rPr>
      </w:pPr>
      <w:r>
        <w:rPr>
          <w:rFonts w:ascii="方正仿宋_GBK" w:hAnsi="宋体" w:eastAsia="方正仿宋_GBK" w:cs="宋体"/>
          <w:color w:val="auto"/>
          <w:kern w:val="0"/>
          <w:sz w:val="24"/>
          <w:szCs w:val="24"/>
          <w:highlight w:val="none"/>
        </w:rPr>
        <w:fldChar w:fldCharType="begin"/>
      </w:r>
      <w:r>
        <w:rPr>
          <w:rFonts w:ascii="方正仿宋_GBK" w:hAnsi="宋体" w:eastAsia="方正仿宋_GBK" w:cs="宋体"/>
          <w:color w:val="auto"/>
          <w:kern w:val="0"/>
          <w:sz w:val="24"/>
          <w:szCs w:val="24"/>
          <w:highlight w:val="none"/>
        </w:rPr>
        <w:instrText xml:space="preserve"> </w:instrText>
      </w:r>
      <w:r>
        <w:rPr>
          <w:rFonts w:hint="eastAsia" w:ascii="方正仿宋_GBK" w:hAnsi="宋体" w:eastAsia="方正仿宋_GBK" w:cs="宋体"/>
          <w:color w:val="auto"/>
          <w:kern w:val="0"/>
          <w:sz w:val="24"/>
          <w:szCs w:val="24"/>
          <w:highlight w:val="none"/>
        </w:rPr>
        <w:instrText xml:space="preserve">eq \o\ac(○,</w:instrText>
      </w:r>
      <w:r>
        <w:rPr>
          <w:rFonts w:hint="eastAsia" w:ascii="宋体" w:hAnsi="宋体" w:eastAsia="方正仿宋_GBK" w:cs="宋体"/>
          <w:color w:val="auto"/>
          <w:kern w:val="0"/>
          <w:position w:val="3"/>
          <w:sz w:val="16"/>
          <w:szCs w:val="24"/>
          <w:highlight w:val="none"/>
        </w:rPr>
        <w:instrText xml:space="preserve">1</w:instrText>
      </w:r>
      <w:r>
        <w:rPr>
          <w:rFonts w:hint="eastAsia" w:ascii="方正仿宋_GBK" w:hAnsi="宋体" w:eastAsia="方正仿宋_GBK" w:cs="宋体"/>
          <w:color w:val="auto"/>
          <w:kern w:val="0"/>
          <w:sz w:val="24"/>
          <w:szCs w:val="24"/>
          <w:highlight w:val="none"/>
        </w:rPr>
        <w:instrText xml:space="preserve">)</w:instrText>
      </w:r>
      <w:r>
        <w:rPr>
          <w:rFonts w:ascii="方正仿宋_GBK" w:hAnsi="宋体" w:eastAsia="方正仿宋_GBK" w:cs="宋体"/>
          <w:color w:val="auto"/>
          <w:kern w:val="0"/>
          <w:sz w:val="24"/>
          <w:szCs w:val="24"/>
          <w:highlight w:val="none"/>
        </w:rPr>
        <w:fldChar w:fldCharType="end"/>
      </w:r>
      <w:r>
        <w:rPr>
          <w:rFonts w:hint="eastAsia" w:ascii="方正仿宋_GBK" w:hAnsi="宋体" w:eastAsia="方正仿宋_GBK" w:cs="宋体"/>
          <w:color w:val="auto"/>
          <w:kern w:val="0"/>
          <w:sz w:val="24"/>
          <w:szCs w:val="24"/>
          <w:highlight w:val="none"/>
        </w:rPr>
        <w:t>根据《</w:t>
      </w:r>
      <w:r>
        <w:rPr>
          <w:rFonts w:ascii="方正仿宋_GBK" w:hAnsi="宋体" w:eastAsia="方正仿宋_GBK" w:cs="宋体"/>
          <w:color w:val="auto"/>
          <w:kern w:val="0"/>
          <w:sz w:val="24"/>
          <w:szCs w:val="24"/>
          <w:highlight w:val="none"/>
        </w:rPr>
        <w:t>中华人民共和国政府采购法实施条例</w:t>
      </w:r>
      <w:r>
        <w:rPr>
          <w:rFonts w:hint="eastAsia" w:ascii="方正仿宋_GBK" w:hAnsi="宋体" w:eastAsia="方正仿宋_GBK" w:cs="宋体"/>
          <w:color w:val="auto"/>
          <w:kern w:val="0"/>
          <w:sz w:val="24"/>
          <w:szCs w:val="24"/>
          <w:highlight w:val="none"/>
        </w:rPr>
        <w:t>》第十九条“参加政府采购活动前三年内，在经营活动中没有重大违法记录”中“重大违法记录”</w:t>
      </w:r>
      <w:r>
        <w:rPr>
          <w:rFonts w:ascii="方正仿宋_GBK" w:hAnsi="宋体" w:eastAsia="方正仿宋_GBK" w:cs="宋体"/>
          <w:color w:val="auto"/>
          <w:kern w:val="0"/>
          <w:sz w:val="24"/>
          <w:szCs w:val="24"/>
          <w:highlight w:val="none"/>
        </w:rPr>
        <w:t>，是指供应商因违法经营受到刑事处罚或者责令停产停业、吊销许可证或者执照、较大数额罚款等行政处罚。</w:t>
      </w:r>
      <w:r>
        <w:rPr>
          <w:rFonts w:hint="eastAsia" w:ascii="方正仿宋_GBK" w:hAnsi="宋体" w:eastAsia="方正仿宋_GBK" w:cs="宋体"/>
          <w:color w:val="auto"/>
          <w:kern w:val="0"/>
          <w:sz w:val="24"/>
          <w:szCs w:val="24"/>
          <w:highlight w:val="none"/>
        </w:rPr>
        <w:t>行政处罚中“较大数额”的认定标准，按照“</w:t>
      </w:r>
      <w:r>
        <w:rPr>
          <w:rFonts w:ascii="方正仿宋_GBK" w:hAnsi="宋体" w:eastAsia="方正仿宋_GBK" w:cs="宋体"/>
          <w:color w:val="auto"/>
          <w:kern w:val="0"/>
          <w:sz w:val="24"/>
          <w:szCs w:val="24"/>
          <w:highlight w:val="none"/>
        </w:rPr>
        <w:t>财政部关于《中华人民共和国政府采购法实施条例》第十九条第一款“较大数额罚款”具体适用问题的意见</w:t>
      </w:r>
      <w:r>
        <w:rPr>
          <w:rFonts w:hint="eastAsia" w:ascii="方正仿宋_GBK" w:hAnsi="宋体" w:eastAsia="方正仿宋_GBK" w:cs="宋体"/>
          <w:color w:val="auto"/>
          <w:kern w:val="0"/>
          <w:sz w:val="24"/>
          <w:szCs w:val="24"/>
          <w:highlight w:val="none"/>
        </w:rPr>
        <w:t>（财库〔2022〕3号）”执行。供应商可于响应文件递交截止时间前通过“信用中国”网站(www.creditchina.gov.cn)、"中国政府采购网"(www.ccgp.gov.cn)等渠道查询信用记录。</w:t>
      </w:r>
    </w:p>
    <w:p w14:paraId="59990CD2">
      <w:pPr>
        <w:snapToGrid w:val="0"/>
        <w:spacing w:line="400" w:lineRule="exact"/>
        <w:ind w:firstLine="480" w:firstLineChars="200"/>
        <w:rPr>
          <w:rFonts w:hint="eastAsia" w:ascii="方正仿宋_GBK" w:eastAsia="方正仿宋_GBK"/>
          <w:color w:val="auto"/>
          <w:kern w:val="0"/>
          <w:sz w:val="24"/>
          <w:szCs w:val="24"/>
          <w:highlight w:val="none"/>
        </w:rPr>
      </w:pPr>
      <w:r>
        <w:rPr>
          <w:rFonts w:hint="eastAsia" w:ascii="方正仿宋_GBK" w:hAnsi="宋体" w:eastAsia="方正仿宋_GBK" w:cs="宋体"/>
          <w:color w:val="auto"/>
          <w:kern w:val="0"/>
          <w:sz w:val="24"/>
          <w:szCs w:val="24"/>
          <w:highlight w:val="none"/>
        </w:rPr>
        <w:t>2.符合性审查。依据竞争性磋商文件的规定，从响应文件的有效性、完整性和对竞争性磋商文件的响应程度进行审查，以确定是否对竞争性磋商文件的实质性要求作出响应。</w:t>
      </w:r>
      <w:r>
        <w:rPr>
          <w:rFonts w:hint="eastAsia" w:ascii="方正仿宋_GBK" w:eastAsia="方正仿宋_GBK"/>
          <w:color w:val="auto"/>
          <w:kern w:val="0"/>
          <w:sz w:val="24"/>
          <w:szCs w:val="24"/>
          <w:highlight w:val="none"/>
        </w:rPr>
        <w:t>符合性审查资料表如下：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14:paraId="530CC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675" w:type="dxa"/>
            <w:noWrap w:val="0"/>
            <w:vAlign w:val="center"/>
          </w:tcPr>
          <w:p w14:paraId="65B01EA3">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序号</w:t>
            </w:r>
          </w:p>
        </w:tc>
        <w:tc>
          <w:tcPr>
            <w:tcW w:w="3544" w:type="dxa"/>
            <w:gridSpan w:val="2"/>
            <w:noWrap w:val="0"/>
            <w:vAlign w:val="center"/>
          </w:tcPr>
          <w:p w14:paraId="64407874">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评审因素</w:t>
            </w:r>
          </w:p>
        </w:tc>
        <w:tc>
          <w:tcPr>
            <w:tcW w:w="5409" w:type="dxa"/>
            <w:noWrap w:val="0"/>
            <w:vAlign w:val="center"/>
          </w:tcPr>
          <w:p w14:paraId="6EB2E22E">
            <w:pPr>
              <w:jc w:val="center"/>
              <w:rPr>
                <w:rFonts w:hint="eastAsia" w:ascii="方正仿宋_GBK" w:hAnsi="宋体" w:eastAsia="方正仿宋_GBK" w:cs="宋体"/>
                <w:b/>
                <w:color w:val="auto"/>
                <w:kern w:val="0"/>
                <w:sz w:val="21"/>
                <w:szCs w:val="21"/>
                <w:highlight w:val="none"/>
              </w:rPr>
            </w:pPr>
            <w:r>
              <w:rPr>
                <w:rFonts w:hint="eastAsia" w:ascii="方正仿宋_GBK" w:hAnsi="宋体" w:eastAsia="方正仿宋_GBK" w:cs="宋体"/>
                <w:b/>
                <w:color w:val="auto"/>
                <w:kern w:val="0"/>
                <w:sz w:val="21"/>
                <w:szCs w:val="21"/>
                <w:highlight w:val="none"/>
              </w:rPr>
              <w:t>评审标准</w:t>
            </w:r>
          </w:p>
        </w:tc>
      </w:tr>
      <w:tr w14:paraId="0C49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noWrap w:val="0"/>
            <w:vAlign w:val="center"/>
          </w:tcPr>
          <w:p w14:paraId="405097B4">
            <w:pPr>
              <w:jc w:val="cente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1</w:t>
            </w:r>
          </w:p>
        </w:tc>
        <w:tc>
          <w:tcPr>
            <w:tcW w:w="1560" w:type="dxa"/>
            <w:vMerge w:val="restart"/>
            <w:noWrap w:val="0"/>
            <w:vAlign w:val="center"/>
          </w:tcPr>
          <w:p w14:paraId="62D1912C">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有效性审查</w:t>
            </w:r>
          </w:p>
        </w:tc>
        <w:tc>
          <w:tcPr>
            <w:tcW w:w="1984" w:type="dxa"/>
            <w:noWrap w:val="0"/>
            <w:vAlign w:val="center"/>
          </w:tcPr>
          <w:p w14:paraId="6739FA48">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olor w:val="auto"/>
                <w:sz w:val="21"/>
                <w:szCs w:val="21"/>
                <w:highlight w:val="none"/>
              </w:rPr>
              <w:t>响应文件签署或盖章</w:t>
            </w:r>
          </w:p>
        </w:tc>
        <w:tc>
          <w:tcPr>
            <w:tcW w:w="5409" w:type="dxa"/>
            <w:noWrap w:val="0"/>
            <w:vAlign w:val="center"/>
          </w:tcPr>
          <w:p w14:paraId="2BBE9AFC">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olor w:val="auto"/>
                <w:sz w:val="21"/>
                <w:szCs w:val="21"/>
                <w:highlight w:val="none"/>
              </w:rPr>
              <w:t>按竞争性磋商文件“第七篇响应文件编制要求”要求签署或盖章。</w:t>
            </w:r>
          </w:p>
        </w:tc>
      </w:tr>
      <w:tr w14:paraId="3CD7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noWrap w:val="0"/>
            <w:vAlign w:val="center"/>
          </w:tcPr>
          <w:p w14:paraId="06919C39">
            <w:pPr>
              <w:jc w:val="center"/>
              <w:rPr>
                <w:rFonts w:hint="eastAsia" w:ascii="方正仿宋_GBK" w:hAnsi="宋体" w:eastAsia="方正仿宋_GBK" w:cs="宋体"/>
                <w:color w:val="auto"/>
                <w:kern w:val="0"/>
                <w:sz w:val="21"/>
                <w:szCs w:val="21"/>
                <w:highlight w:val="none"/>
              </w:rPr>
            </w:pPr>
          </w:p>
        </w:tc>
        <w:tc>
          <w:tcPr>
            <w:tcW w:w="1560" w:type="dxa"/>
            <w:vMerge w:val="continue"/>
            <w:noWrap w:val="0"/>
            <w:vAlign w:val="center"/>
          </w:tcPr>
          <w:p w14:paraId="1C4BC947">
            <w:pPr>
              <w:rPr>
                <w:rFonts w:hint="eastAsia" w:ascii="方正仿宋_GBK" w:hAnsi="宋体" w:eastAsia="方正仿宋_GBK" w:cs="宋体"/>
                <w:color w:val="auto"/>
                <w:kern w:val="0"/>
                <w:sz w:val="21"/>
                <w:szCs w:val="21"/>
                <w:highlight w:val="none"/>
              </w:rPr>
            </w:pPr>
          </w:p>
        </w:tc>
        <w:tc>
          <w:tcPr>
            <w:tcW w:w="1984" w:type="dxa"/>
            <w:noWrap w:val="0"/>
            <w:vAlign w:val="center"/>
          </w:tcPr>
          <w:p w14:paraId="5533AFC8">
            <w:pPr>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法定代表人身份证明及授权委托书</w:t>
            </w:r>
          </w:p>
        </w:tc>
        <w:tc>
          <w:tcPr>
            <w:tcW w:w="5409" w:type="dxa"/>
            <w:noWrap w:val="0"/>
            <w:vAlign w:val="center"/>
          </w:tcPr>
          <w:p w14:paraId="046CBA21">
            <w:pPr>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法定代表人身份证明及授权委托书有效，符合竞争性磋商文件规定的格式，签署或盖章齐全。</w:t>
            </w:r>
          </w:p>
        </w:tc>
      </w:tr>
      <w:tr w14:paraId="6587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noWrap w:val="0"/>
            <w:vAlign w:val="center"/>
          </w:tcPr>
          <w:p w14:paraId="5CD738AD">
            <w:pPr>
              <w:jc w:val="center"/>
              <w:rPr>
                <w:rFonts w:hint="eastAsia" w:ascii="方正仿宋_GBK" w:hAnsi="宋体" w:eastAsia="方正仿宋_GBK" w:cs="宋体"/>
                <w:color w:val="auto"/>
                <w:kern w:val="0"/>
                <w:sz w:val="21"/>
                <w:szCs w:val="21"/>
                <w:highlight w:val="none"/>
              </w:rPr>
            </w:pPr>
          </w:p>
        </w:tc>
        <w:tc>
          <w:tcPr>
            <w:tcW w:w="1560" w:type="dxa"/>
            <w:vMerge w:val="continue"/>
            <w:noWrap w:val="0"/>
            <w:vAlign w:val="center"/>
          </w:tcPr>
          <w:p w14:paraId="5052F10B">
            <w:pPr>
              <w:rPr>
                <w:rFonts w:hint="eastAsia" w:ascii="方正仿宋_GBK" w:hAnsi="宋体" w:eastAsia="方正仿宋_GBK" w:cs="宋体"/>
                <w:color w:val="auto"/>
                <w:kern w:val="0"/>
                <w:sz w:val="21"/>
                <w:szCs w:val="21"/>
                <w:highlight w:val="none"/>
              </w:rPr>
            </w:pPr>
          </w:p>
        </w:tc>
        <w:tc>
          <w:tcPr>
            <w:tcW w:w="1984" w:type="dxa"/>
            <w:noWrap w:val="0"/>
            <w:vAlign w:val="center"/>
          </w:tcPr>
          <w:p w14:paraId="34655603">
            <w:pPr>
              <w:rPr>
                <w:rFonts w:hint="eastAsia" w:ascii="方正仿宋_GBK" w:hAnsi="宋体" w:eastAsia="方正仿宋_GBK" w:cs="仿宋_GB2312"/>
                <w:color w:val="auto"/>
                <w:sz w:val="21"/>
                <w:szCs w:val="21"/>
                <w:highlight w:val="none"/>
                <w:lang w:val="zh-CN"/>
              </w:rPr>
            </w:pPr>
            <w:r>
              <w:rPr>
                <w:rFonts w:hint="eastAsia" w:ascii="方正仿宋_GBK" w:hAnsi="宋体" w:eastAsia="方正仿宋_GBK" w:cs="仿宋_GB2312"/>
                <w:color w:val="auto"/>
                <w:sz w:val="21"/>
                <w:szCs w:val="21"/>
                <w:highlight w:val="none"/>
              </w:rPr>
              <w:t>响应</w:t>
            </w:r>
            <w:r>
              <w:rPr>
                <w:rFonts w:hint="eastAsia" w:ascii="方正仿宋_GBK" w:hAnsi="宋体" w:eastAsia="方正仿宋_GBK" w:cs="仿宋_GB2312"/>
                <w:color w:val="auto"/>
                <w:sz w:val="21"/>
                <w:szCs w:val="21"/>
                <w:highlight w:val="none"/>
                <w:lang w:val="zh-CN"/>
              </w:rPr>
              <w:t>方案</w:t>
            </w:r>
          </w:p>
        </w:tc>
        <w:tc>
          <w:tcPr>
            <w:tcW w:w="5409" w:type="dxa"/>
            <w:noWrap w:val="0"/>
            <w:vAlign w:val="center"/>
          </w:tcPr>
          <w:p w14:paraId="2430A3AC">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lang w:val="zh-CN"/>
              </w:rPr>
              <w:t>每个包只能有一个</w:t>
            </w:r>
            <w:r>
              <w:rPr>
                <w:rFonts w:hint="eastAsia" w:ascii="方正仿宋_GBK" w:hAnsi="宋体" w:eastAsia="方正仿宋_GBK" w:cs="仿宋_GB2312"/>
                <w:color w:val="auto"/>
                <w:sz w:val="21"/>
                <w:szCs w:val="21"/>
                <w:highlight w:val="none"/>
              </w:rPr>
              <w:t>响应</w:t>
            </w:r>
            <w:r>
              <w:rPr>
                <w:rFonts w:hint="eastAsia" w:ascii="方正仿宋_GBK" w:hAnsi="宋体" w:eastAsia="方正仿宋_GBK" w:cs="仿宋_GB2312"/>
                <w:color w:val="auto"/>
                <w:sz w:val="21"/>
                <w:szCs w:val="21"/>
                <w:highlight w:val="none"/>
                <w:lang w:val="zh-CN"/>
              </w:rPr>
              <w:t>方案。</w:t>
            </w:r>
          </w:p>
        </w:tc>
      </w:tr>
      <w:tr w14:paraId="032D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noWrap w:val="0"/>
            <w:vAlign w:val="center"/>
          </w:tcPr>
          <w:p w14:paraId="002C9FE3">
            <w:pPr>
              <w:jc w:val="center"/>
              <w:rPr>
                <w:rFonts w:hint="eastAsia" w:ascii="方正仿宋_GBK" w:hAnsi="宋体" w:eastAsia="方正仿宋_GBK" w:cs="宋体"/>
                <w:color w:val="auto"/>
                <w:kern w:val="0"/>
                <w:sz w:val="21"/>
                <w:szCs w:val="21"/>
                <w:highlight w:val="none"/>
              </w:rPr>
            </w:pPr>
          </w:p>
        </w:tc>
        <w:tc>
          <w:tcPr>
            <w:tcW w:w="1560" w:type="dxa"/>
            <w:vMerge w:val="continue"/>
            <w:noWrap w:val="0"/>
            <w:vAlign w:val="center"/>
          </w:tcPr>
          <w:p w14:paraId="6F1C30DF">
            <w:pPr>
              <w:rPr>
                <w:rFonts w:hint="eastAsia" w:ascii="方正仿宋_GBK" w:hAnsi="宋体" w:eastAsia="方正仿宋_GBK" w:cs="宋体"/>
                <w:color w:val="auto"/>
                <w:kern w:val="0"/>
                <w:sz w:val="21"/>
                <w:szCs w:val="21"/>
                <w:highlight w:val="none"/>
              </w:rPr>
            </w:pPr>
          </w:p>
        </w:tc>
        <w:tc>
          <w:tcPr>
            <w:tcW w:w="1984" w:type="dxa"/>
            <w:noWrap w:val="0"/>
            <w:vAlign w:val="center"/>
          </w:tcPr>
          <w:p w14:paraId="5833BE3C">
            <w:pPr>
              <w:rPr>
                <w:rFonts w:hint="eastAsia" w:ascii="方正仿宋_GBK" w:hAnsi="宋体" w:eastAsia="方正仿宋_GBK" w:cs="仿宋_GB2312"/>
                <w:color w:val="auto"/>
                <w:sz w:val="21"/>
                <w:szCs w:val="21"/>
                <w:highlight w:val="none"/>
                <w:lang w:val="zh-CN"/>
              </w:rPr>
            </w:pPr>
            <w:r>
              <w:rPr>
                <w:rFonts w:hint="eastAsia" w:ascii="方正仿宋_GBK" w:hAnsi="宋体" w:eastAsia="方正仿宋_GBK"/>
                <w:color w:val="auto"/>
                <w:sz w:val="21"/>
                <w:szCs w:val="21"/>
                <w:highlight w:val="none"/>
              </w:rPr>
              <w:t>报价唯一</w:t>
            </w:r>
          </w:p>
        </w:tc>
        <w:tc>
          <w:tcPr>
            <w:tcW w:w="5409" w:type="dxa"/>
            <w:noWrap w:val="0"/>
            <w:vAlign w:val="center"/>
          </w:tcPr>
          <w:p w14:paraId="78B98317">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olor w:val="auto"/>
                <w:sz w:val="21"/>
                <w:szCs w:val="21"/>
                <w:highlight w:val="none"/>
              </w:rPr>
              <w:t>只能有一个有效报价，不得提交选择性报价。</w:t>
            </w:r>
          </w:p>
        </w:tc>
      </w:tr>
      <w:tr w14:paraId="5456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75" w:type="dxa"/>
            <w:noWrap w:val="0"/>
            <w:vAlign w:val="center"/>
          </w:tcPr>
          <w:p w14:paraId="0A86EB61">
            <w:pPr>
              <w:jc w:val="cente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2</w:t>
            </w:r>
          </w:p>
        </w:tc>
        <w:tc>
          <w:tcPr>
            <w:tcW w:w="1560" w:type="dxa"/>
            <w:noWrap w:val="0"/>
            <w:vAlign w:val="center"/>
          </w:tcPr>
          <w:p w14:paraId="32145E76">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完整性审查</w:t>
            </w:r>
          </w:p>
        </w:tc>
        <w:tc>
          <w:tcPr>
            <w:tcW w:w="1984" w:type="dxa"/>
            <w:noWrap w:val="0"/>
            <w:vAlign w:val="center"/>
          </w:tcPr>
          <w:p w14:paraId="0CB9CD70">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rPr>
              <w:t>响应</w:t>
            </w:r>
            <w:r>
              <w:rPr>
                <w:rFonts w:hint="eastAsia" w:ascii="方正仿宋_GBK" w:hAnsi="宋体" w:eastAsia="方正仿宋_GBK" w:cs="仿宋_GB2312"/>
                <w:color w:val="auto"/>
                <w:sz w:val="21"/>
                <w:szCs w:val="21"/>
                <w:highlight w:val="none"/>
                <w:lang w:val="zh-CN"/>
              </w:rPr>
              <w:t>文件份数</w:t>
            </w:r>
          </w:p>
        </w:tc>
        <w:tc>
          <w:tcPr>
            <w:tcW w:w="5409" w:type="dxa"/>
            <w:noWrap w:val="0"/>
            <w:vAlign w:val="center"/>
          </w:tcPr>
          <w:p w14:paraId="5A127136">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仿宋_GB2312"/>
                <w:color w:val="auto"/>
                <w:sz w:val="21"/>
                <w:szCs w:val="21"/>
                <w:highlight w:val="none"/>
              </w:rPr>
              <w:t>响应</w:t>
            </w:r>
            <w:r>
              <w:rPr>
                <w:rFonts w:hint="eastAsia" w:ascii="方正仿宋_GBK" w:hAnsi="宋体" w:eastAsia="方正仿宋_GBK" w:cs="仿宋_GB2312"/>
                <w:color w:val="auto"/>
                <w:sz w:val="21"/>
                <w:szCs w:val="21"/>
                <w:highlight w:val="none"/>
                <w:lang w:val="zh-CN"/>
              </w:rPr>
              <w:t>文件正、副本数量符合</w:t>
            </w:r>
            <w:r>
              <w:rPr>
                <w:rFonts w:hint="eastAsia" w:ascii="方正仿宋_GBK" w:hAnsi="宋体" w:eastAsia="方正仿宋_GBK" w:cs="仿宋_GB2312"/>
                <w:color w:val="auto"/>
                <w:sz w:val="21"/>
                <w:szCs w:val="21"/>
                <w:highlight w:val="none"/>
              </w:rPr>
              <w:t>竞争性磋商</w:t>
            </w:r>
            <w:r>
              <w:rPr>
                <w:rFonts w:hint="eastAsia" w:ascii="方正仿宋_GBK" w:hAnsi="宋体" w:eastAsia="方正仿宋_GBK" w:cs="仿宋_GB2312"/>
                <w:color w:val="auto"/>
                <w:sz w:val="21"/>
                <w:szCs w:val="21"/>
                <w:highlight w:val="none"/>
                <w:lang w:val="zh-CN"/>
              </w:rPr>
              <w:t>文件要求。</w:t>
            </w:r>
          </w:p>
        </w:tc>
      </w:tr>
      <w:tr w14:paraId="7702C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noWrap w:val="0"/>
            <w:vAlign w:val="center"/>
          </w:tcPr>
          <w:p w14:paraId="5671A4E7">
            <w:pPr>
              <w:jc w:val="cente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3</w:t>
            </w:r>
          </w:p>
        </w:tc>
        <w:tc>
          <w:tcPr>
            <w:tcW w:w="1560" w:type="dxa"/>
            <w:vMerge w:val="restart"/>
            <w:noWrap w:val="0"/>
            <w:vAlign w:val="center"/>
          </w:tcPr>
          <w:p w14:paraId="4EE6D544">
            <w:pPr>
              <w:rPr>
                <w:rFonts w:hint="eastAsia" w:ascii="方正仿宋_GBK" w:hAnsi="宋体" w:eastAsia="方正仿宋_GBK" w:cs="仿宋_GB2312"/>
                <w:color w:val="auto"/>
                <w:sz w:val="21"/>
                <w:szCs w:val="21"/>
                <w:highlight w:val="none"/>
                <w:lang w:val="zh-CN"/>
              </w:rPr>
            </w:pPr>
            <w:r>
              <w:rPr>
                <w:rFonts w:hint="eastAsia" w:ascii="方正仿宋_GBK" w:hAnsi="宋体" w:eastAsia="方正仿宋_GBK" w:cs="宋体"/>
                <w:color w:val="auto"/>
                <w:kern w:val="0"/>
                <w:sz w:val="21"/>
                <w:szCs w:val="21"/>
                <w:highlight w:val="none"/>
              </w:rPr>
              <w:t>响应程度审查</w:t>
            </w:r>
          </w:p>
        </w:tc>
        <w:tc>
          <w:tcPr>
            <w:tcW w:w="1984" w:type="dxa"/>
            <w:noWrap w:val="0"/>
            <w:vAlign w:val="center"/>
          </w:tcPr>
          <w:p w14:paraId="59070ED0">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实质性响应</w:t>
            </w:r>
          </w:p>
        </w:tc>
        <w:tc>
          <w:tcPr>
            <w:tcW w:w="5409" w:type="dxa"/>
            <w:noWrap w:val="0"/>
            <w:vAlign w:val="center"/>
          </w:tcPr>
          <w:p w14:paraId="125254F6">
            <w:pPr>
              <w:pStyle w:val="33"/>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竞争性磋商文件第二篇、第三篇</w:t>
            </w:r>
            <w:r>
              <w:rPr>
                <w:rFonts w:hint="eastAsia" w:ascii="方正仿宋_GBK" w:hAnsi="宋体" w:eastAsia="方正仿宋_GBK" w:cs="宋体"/>
                <w:color w:val="auto"/>
                <w:kern w:val="0"/>
                <w:sz w:val="21"/>
                <w:szCs w:val="21"/>
                <w:highlight w:val="none"/>
                <w:lang w:val="en-US" w:eastAsia="zh-CN"/>
              </w:rPr>
              <w:t>全部内容</w:t>
            </w:r>
            <w:r>
              <w:rPr>
                <w:rFonts w:hint="eastAsia" w:ascii="方正仿宋_GBK" w:hAnsi="宋体" w:eastAsia="方正仿宋_GBK" w:cs="宋体"/>
                <w:color w:val="auto"/>
                <w:kern w:val="0"/>
                <w:sz w:val="21"/>
                <w:szCs w:val="21"/>
                <w:highlight w:val="none"/>
              </w:rPr>
              <w:t>。</w:t>
            </w:r>
          </w:p>
        </w:tc>
      </w:tr>
      <w:tr w14:paraId="079FD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noWrap w:val="0"/>
            <w:vAlign w:val="center"/>
          </w:tcPr>
          <w:p w14:paraId="6D0EE6E2">
            <w:pPr>
              <w:jc w:val="center"/>
              <w:rPr>
                <w:rFonts w:hint="eastAsia" w:ascii="方正仿宋_GBK" w:hAnsi="宋体" w:eastAsia="方正仿宋_GBK" w:cs="宋体"/>
                <w:color w:val="auto"/>
                <w:kern w:val="0"/>
                <w:sz w:val="21"/>
                <w:szCs w:val="21"/>
                <w:highlight w:val="none"/>
              </w:rPr>
            </w:pPr>
          </w:p>
        </w:tc>
        <w:tc>
          <w:tcPr>
            <w:tcW w:w="1560" w:type="dxa"/>
            <w:vMerge w:val="continue"/>
            <w:noWrap w:val="0"/>
            <w:vAlign w:val="center"/>
          </w:tcPr>
          <w:p w14:paraId="4E0C3F4F">
            <w:pPr>
              <w:rPr>
                <w:rFonts w:hint="eastAsia" w:ascii="方正仿宋_GBK" w:hAnsi="宋体" w:eastAsia="方正仿宋_GBK" w:cs="仿宋_GB2312"/>
                <w:color w:val="auto"/>
                <w:sz w:val="21"/>
                <w:szCs w:val="21"/>
                <w:highlight w:val="none"/>
                <w:lang w:val="zh-CN"/>
              </w:rPr>
            </w:pPr>
          </w:p>
        </w:tc>
        <w:tc>
          <w:tcPr>
            <w:tcW w:w="1984" w:type="dxa"/>
            <w:noWrap w:val="0"/>
            <w:vAlign w:val="center"/>
          </w:tcPr>
          <w:p w14:paraId="48B2A186">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磋商有效期</w:t>
            </w:r>
          </w:p>
        </w:tc>
        <w:tc>
          <w:tcPr>
            <w:tcW w:w="5409" w:type="dxa"/>
            <w:noWrap w:val="0"/>
            <w:vAlign w:val="center"/>
          </w:tcPr>
          <w:p w14:paraId="23ED26DD">
            <w:pPr>
              <w:rPr>
                <w:rFonts w:hint="eastAsia" w:ascii="方正仿宋_GBK" w:hAnsi="宋体" w:eastAsia="方正仿宋_GBK" w:cs="宋体"/>
                <w:color w:val="auto"/>
                <w:kern w:val="0"/>
                <w:sz w:val="21"/>
                <w:szCs w:val="21"/>
                <w:highlight w:val="none"/>
              </w:rPr>
            </w:pPr>
            <w:r>
              <w:rPr>
                <w:rFonts w:hint="eastAsia" w:ascii="方正仿宋_GBK" w:hAnsi="宋体" w:eastAsia="方正仿宋_GBK" w:cs="宋体"/>
                <w:color w:val="auto"/>
                <w:kern w:val="0"/>
                <w:sz w:val="21"/>
                <w:szCs w:val="21"/>
                <w:highlight w:val="none"/>
              </w:rPr>
              <w:t>响应文件及有关承诺文件有效期为提交响应文件截止时间起90天。</w:t>
            </w:r>
          </w:p>
        </w:tc>
      </w:tr>
    </w:tbl>
    <w:p w14:paraId="5EBC11B1">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3.根据《财政部关于政府采购竞争性磋商</w:t>
      </w:r>
      <w:r>
        <w:rPr>
          <w:rFonts w:hint="eastAsia" w:ascii="方正仿宋_GBK" w:hAnsi="宋体" w:eastAsia="方正仿宋_GBK"/>
          <w:color w:val="auto"/>
          <w:sz w:val="24"/>
          <w:szCs w:val="24"/>
          <w:highlight w:val="none"/>
          <w:lang w:eastAsia="zh-CN"/>
        </w:rPr>
        <w:t>采购人</w:t>
      </w:r>
      <w:r>
        <w:rPr>
          <w:rFonts w:hint="eastAsia" w:ascii="方正仿宋_GBK" w:hAnsi="宋体" w:eastAsia="方正仿宋_GBK"/>
          <w:color w:val="auto"/>
          <w:sz w:val="24"/>
          <w:szCs w:val="24"/>
          <w:highlight w:val="none"/>
        </w:rPr>
        <w:t>式管理暂行办法有关问题的补充通知》（财库〔2015〕124号）采用竞争性磋商</w:t>
      </w:r>
      <w:r>
        <w:rPr>
          <w:rFonts w:hint="eastAsia" w:ascii="方正仿宋_GBK" w:hAnsi="宋体" w:eastAsia="方正仿宋_GBK"/>
          <w:color w:val="auto"/>
          <w:sz w:val="24"/>
          <w:szCs w:val="24"/>
          <w:highlight w:val="none"/>
          <w:lang w:eastAsia="zh-CN"/>
        </w:rPr>
        <w:t>采购人</w:t>
      </w:r>
      <w:r>
        <w:rPr>
          <w:rFonts w:hint="eastAsia" w:ascii="方正仿宋_GBK" w:hAnsi="宋体" w:eastAsia="方正仿宋_GBK"/>
          <w:color w:val="auto"/>
          <w:sz w:val="24"/>
          <w:szCs w:val="24"/>
          <w:highlight w:val="none"/>
        </w:rPr>
        <w:t>式采购的政府购买服务项目（含政府和社会资本合作项目），在采购过程中符合要求的供应商（社会资本）只有2家的，竞争性磋商采购活动可以继续进行。</w:t>
      </w:r>
    </w:p>
    <w:p w14:paraId="5C4510E0">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A5F399E">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磋商小组要求供应商澄清、说明或者更正响应文件应当以书面形式作出。供应商的澄清、说明或者更正应当由法定代表人（或其授权代表）或自然人（供应商为自然人）签署或者加盖公章。由授权代表签署的，应当附法定代表人授权书。供应商为自然人的，应当由本人签署并附身份证明。</w:t>
      </w:r>
    </w:p>
    <w:p w14:paraId="023EA9E0">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（五）在磋商过程中磋商的任何一方不得向他人透露与磋商有关的服务资料、价格或其他信息。</w:t>
      </w:r>
    </w:p>
    <w:p w14:paraId="39B84B1F">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在磋商过程中，磋商小组可以根据竞争性磋商文件和磋商情况实质性变动采购需求中的服务、商务要求以及合同草案条款，但不得变动竞争性磋商文件中的其他内容。实质性变动的内容，须经采购人代表确认。对竞争性磋商文件作出的实质性变动是竞争性磋商文件的有效组成部分，磋商小组应当及时以书面形式同时通知所有参加磋商的供应商。</w:t>
      </w:r>
    </w:p>
    <w:p w14:paraId="2EDE8C57">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（七）供应商在磋商时作出的所有书面承诺须由法定代表人（或其授权代表）或自然人（供应商为自然人）签署。</w:t>
      </w:r>
    </w:p>
    <w:p w14:paraId="7BA77611">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经磋商确定最终采购需求且磋商结束后，供应商应当按照竞争性磋商文件的变动情况和磋商小组的要求重新提交响应文件或重新做出相关的书面承诺，最后书面提交最后报价及有关承诺（《最后报价表》在磋商现场向供应商提供）。</w:t>
      </w:r>
      <w:r>
        <w:rPr>
          <w:rFonts w:ascii="方正仿宋_GBK" w:hAnsi="宋体" w:eastAsia="方正仿宋_GBK"/>
          <w:color w:val="auto"/>
          <w:sz w:val="24"/>
          <w:szCs w:val="24"/>
          <w:highlight w:val="none"/>
        </w:rPr>
        <w:t>已提交响应文件</w:t>
      </w:r>
      <w:r>
        <w:rPr>
          <w:rFonts w:hint="eastAsia" w:ascii="方正仿宋_GBK" w:hAnsi="宋体" w:eastAsia="方正仿宋_GBK"/>
          <w:color w:val="auto"/>
          <w:sz w:val="24"/>
          <w:szCs w:val="24"/>
          <w:highlight w:val="none"/>
        </w:rPr>
        <w:t>但未在规定时间内进行最后报价</w:t>
      </w:r>
      <w:r>
        <w:rPr>
          <w:rFonts w:ascii="方正仿宋_GBK" w:hAnsi="宋体" w:eastAsia="方正仿宋_GBK"/>
          <w:color w:val="auto"/>
          <w:sz w:val="24"/>
          <w:szCs w:val="24"/>
          <w:highlight w:val="none"/>
        </w:rPr>
        <w:t>的供应商，</w:t>
      </w:r>
      <w:r>
        <w:rPr>
          <w:rFonts w:hint="eastAsia" w:ascii="方正仿宋_GBK" w:hAnsi="宋体" w:eastAsia="方正仿宋_GBK"/>
          <w:color w:val="auto"/>
          <w:sz w:val="24"/>
          <w:szCs w:val="24"/>
          <w:highlight w:val="none"/>
        </w:rPr>
        <w:t>视为放弃最后报价，以供应商响应文件中的报价为准。</w:t>
      </w:r>
    </w:p>
    <w:p w14:paraId="3F2C21F4">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（九）磋商小组采用综合评分法对提交最后报价的供应商的响应文件和最后报价（含有效书面承诺）进行综合评分。</w:t>
      </w:r>
      <w:r>
        <w:rPr>
          <w:rFonts w:hint="eastAsia" w:ascii="方正仿宋_GBK" w:hAnsi="宋体" w:eastAsia="方正仿宋_GBK" w:cs="宋体"/>
          <w:color w:val="auto"/>
          <w:kern w:val="0"/>
          <w:sz w:val="24"/>
          <w:szCs w:val="24"/>
          <w:highlight w:val="none"/>
        </w:rPr>
        <w:t>综合评分法，是指响应</w:t>
      </w:r>
      <w:r>
        <w:rPr>
          <w:rFonts w:ascii="方正仿宋_GBK" w:hAnsi="宋体" w:eastAsia="方正仿宋_GBK" w:cs="宋体"/>
          <w:color w:val="auto"/>
          <w:kern w:val="0"/>
          <w:sz w:val="24"/>
          <w:szCs w:val="24"/>
          <w:highlight w:val="none"/>
        </w:rPr>
        <w:t>文件满足</w:t>
      </w:r>
      <w:r>
        <w:rPr>
          <w:rFonts w:hint="eastAsia" w:ascii="方正仿宋_GBK" w:hAnsi="宋体" w:eastAsia="方正仿宋_GBK" w:cs="宋体"/>
          <w:color w:val="auto"/>
          <w:kern w:val="0"/>
          <w:sz w:val="24"/>
          <w:szCs w:val="24"/>
          <w:highlight w:val="none"/>
        </w:rPr>
        <w:t>竞争性磋商</w:t>
      </w:r>
      <w:r>
        <w:rPr>
          <w:rFonts w:ascii="方正仿宋_GBK" w:hAnsi="宋体" w:eastAsia="方正仿宋_GBK" w:cs="宋体"/>
          <w:color w:val="auto"/>
          <w:kern w:val="0"/>
          <w:sz w:val="24"/>
          <w:szCs w:val="24"/>
          <w:highlight w:val="none"/>
        </w:rPr>
        <w:t>文件全部实质性要求且按照评审因素的量化指标评审得分最高的供应商为</w:t>
      </w:r>
      <w:r>
        <w:rPr>
          <w:rFonts w:hint="eastAsia" w:ascii="方正仿宋_GBK" w:hAnsi="宋体" w:eastAsia="方正仿宋_GBK" w:cs="宋体"/>
          <w:color w:val="auto"/>
          <w:kern w:val="0"/>
          <w:sz w:val="24"/>
          <w:szCs w:val="24"/>
          <w:highlight w:val="none"/>
        </w:rPr>
        <w:t>成交</w:t>
      </w:r>
      <w:r>
        <w:rPr>
          <w:rFonts w:ascii="方正仿宋_GBK" w:hAnsi="宋体" w:eastAsia="方正仿宋_GBK" w:cs="宋体"/>
          <w:color w:val="auto"/>
          <w:kern w:val="0"/>
          <w:sz w:val="24"/>
          <w:szCs w:val="24"/>
          <w:highlight w:val="none"/>
        </w:rPr>
        <w:t>候选</w:t>
      </w:r>
      <w:r>
        <w:rPr>
          <w:rFonts w:hint="eastAsia" w:ascii="方正仿宋_GBK" w:hAnsi="宋体" w:eastAsia="方正仿宋_GBK" w:cs="宋体"/>
          <w:color w:val="auto"/>
          <w:kern w:val="0"/>
          <w:sz w:val="24"/>
          <w:szCs w:val="24"/>
          <w:highlight w:val="none"/>
        </w:rPr>
        <w:t>供应商</w:t>
      </w:r>
      <w:r>
        <w:rPr>
          <w:rFonts w:ascii="方正仿宋_GBK" w:hAnsi="宋体" w:eastAsia="方正仿宋_GBK" w:cs="宋体"/>
          <w:color w:val="auto"/>
          <w:kern w:val="0"/>
          <w:sz w:val="24"/>
          <w:szCs w:val="24"/>
          <w:highlight w:val="none"/>
        </w:rPr>
        <w:t>的</w:t>
      </w:r>
      <w:r>
        <w:rPr>
          <w:rFonts w:hint="eastAsia" w:ascii="方正仿宋_GBK" w:hAnsi="宋体" w:eastAsia="方正仿宋_GBK" w:cs="宋体"/>
          <w:color w:val="auto"/>
          <w:kern w:val="0"/>
          <w:sz w:val="24"/>
          <w:szCs w:val="24"/>
          <w:highlight w:val="none"/>
        </w:rPr>
        <w:t>评审</w:t>
      </w:r>
      <w:r>
        <w:rPr>
          <w:rFonts w:ascii="方正仿宋_GBK" w:hAnsi="宋体" w:eastAsia="方正仿宋_GBK" w:cs="宋体"/>
          <w:color w:val="auto"/>
          <w:kern w:val="0"/>
          <w:sz w:val="24"/>
          <w:szCs w:val="24"/>
          <w:highlight w:val="none"/>
        </w:rPr>
        <w:t>方法</w:t>
      </w:r>
      <w:r>
        <w:rPr>
          <w:rFonts w:hint="eastAsia" w:ascii="方正仿宋_GBK" w:hAnsi="宋体" w:eastAsia="方正仿宋_GBK" w:cs="宋体"/>
          <w:color w:val="auto"/>
          <w:kern w:val="0"/>
          <w:sz w:val="24"/>
          <w:szCs w:val="24"/>
          <w:highlight w:val="none"/>
        </w:rPr>
        <w:t>。供应商总得分为价格、服务、商务等评定因素分别按照相应权重值计算分项得分后相加，满分为100分</w:t>
      </w:r>
      <w:r>
        <w:rPr>
          <w:rFonts w:hint="eastAsia" w:ascii="方正仿宋_GBK" w:hAnsi="宋体" w:eastAsia="方正仿宋_GBK"/>
          <w:color w:val="auto"/>
          <w:sz w:val="24"/>
          <w:szCs w:val="24"/>
          <w:highlight w:val="none"/>
        </w:rPr>
        <w:t>。</w:t>
      </w:r>
    </w:p>
    <w:p w14:paraId="048FD4F7">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（十）磋商小组各成员独立对每个有效响应（通过资格性审查、</w:t>
      </w:r>
      <w:r>
        <w:rPr>
          <w:rFonts w:hint="eastAsia" w:ascii="方正仿宋_GBK" w:hAnsi="宋体" w:eastAsia="方正仿宋_GBK" w:cs="宋体"/>
          <w:color w:val="auto"/>
          <w:kern w:val="0"/>
          <w:sz w:val="24"/>
          <w:szCs w:val="24"/>
          <w:highlight w:val="none"/>
        </w:rPr>
        <w:t>符合性审查的供应商</w:t>
      </w:r>
      <w:r>
        <w:rPr>
          <w:rFonts w:hint="eastAsia" w:ascii="方正仿宋_GBK" w:hAnsi="宋体" w:eastAsia="方正仿宋_GBK"/>
          <w:color w:val="auto"/>
          <w:sz w:val="24"/>
          <w:szCs w:val="24"/>
          <w:highlight w:val="none"/>
        </w:rPr>
        <w:t>）的文件进行评价、打分，然后汇总每个供应商每项评分因素的得分，并根据综合评分情况按照评审得分由高到低顺序推荐3名以上成交候选供应商，并编写评审报告。若供应商的评审得分相同的，按照最后报价由低到高的顺序排列推荐。评审得分且最后报价相同的，按照服务指标优劣顺序排列推荐。以上都相同的，按商务条款的优劣顺序排列推荐。</w:t>
      </w:r>
    </w:p>
    <w:p w14:paraId="53728590">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89" w:name="_Toc106030889"/>
      <w:bookmarkStart w:id="90" w:name="_Toc76462334"/>
      <w:bookmarkStart w:id="91" w:name="_Toc24085"/>
      <w:bookmarkStart w:id="92" w:name="_Toc106030890"/>
      <w:bookmarkStart w:id="93" w:name="_Toc76462335"/>
      <w:bookmarkStart w:id="94" w:name="_Toc102227320"/>
      <w:bookmarkStart w:id="95" w:name="_Toc342913394"/>
      <w:r>
        <w:rPr>
          <w:rFonts w:hint="eastAsia" w:ascii="方正仿宋_GBK" w:hAnsi="宋体" w:eastAsia="方正仿宋_GBK"/>
          <w:color w:val="auto"/>
          <w:sz w:val="24"/>
          <w:highlight w:val="none"/>
        </w:rPr>
        <w:t>二、评审标准</w:t>
      </w:r>
      <w:bookmarkEnd w:id="89"/>
      <w:bookmarkEnd w:id="90"/>
      <w:bookmarkEnd w:id="91"/>
    </w:p>
    <w:tbl>
      <w:tblPr>
        <w:tblStyle w:val="58"/>
        <w:tblW w:w="10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1385"/>
        <w:gridCol w:w="1375"/>
        <w:gridCol w:w="4584"/>
        <w:gridCol w:w="2312"/>
      </w:tblGrid>
      <w:tr w14:paraId="5187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noWrap w:val="0"/>
            <w:vAlign w:val="center"/>
          </w:tcPr>
          <w:p w14:paraId="0BEAB40E">
            <w:pPr>
              <w:widowControl/>
              <w:spacing w:line="280" w:lineRule="exact"/>
              <w:jc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序号</w:t>
            </w:r>
          </w:p>
        </w:tc>
        <w:tc>
          <w:tcPr>
            <w:tcW w:w="1385" w:type="dxa"/>
            <w:noWrap w:val="0"/>
            <w:vAlign w:val="center"/>
          </w:tcPr>
          <w:p w14:paraId="22117B21">
            <w:pPr>
              <w:widowControl/>
              <w:spacing w:line="280" w:lineRule="exact"/>
              <w:jc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评分因素及权值</w:t>
            </w:r>
          </w:p>
        </w:tc>
        <w:tc>
          <w:tcPr>
            <w:tcW w:w="1375" w:type="dxa"/>
            <w:noWrap w:val="0"/>
            <w:vAlign w:val="center"/>
          </w:tcPr>
          <w:p w14:paraId="1AD516B4">
            <w:pPr>
              <w:widowControl/>
              <w:spacing w:line="280" w:lineRule="exact"/>
              <w:jc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分值</w:t>
            </w:r>
          </w:p>
        </w:tc>
        <w:tc>
          <w:tcPr>
            <w:tcW w:w="4584" w:type="dxa"/>
            <w:noWrap w:val="0"/>
            <w:vAlign w:val="center"/>
          </w:tcPr>
          <w:p w14:paraId="1059A6C6">
            <w:pPr>
              <w:widowControl/>
              <w:spacing w:line="280" w:lineRule="exact"/>
              <w:jc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评分标准</w:t>
            </w:r>
          </w:p>
        </w:tc>
        <w:tc>
          <w:tcPr>
            <w:tcW w:w="2312" w:type="dxa"/>
            <w:noWrap w:val="0"/>
            <w:vAlign w:val="center"/>
          </w:tcPr>
          <w:p w14:paraId="56262BE8">
            <w:pPr>
              <w:widowControl/>
              <w:spacing w:line="280" w:lineRule="exact"/>
              <w:jc w:val="center"/>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说明</w:t>
            </w:r>
          </w:p>
        </w:tc>
      </w:tr>
      <w:tr w14:paraId="1518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noWrap w:val="0"/>
            <w:vAlign w:val="center"/>
          </w:tcPr>
          <w:p w14:paraId="69D37571">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1</w:t>
            </w:r>
          </w:p>
        </w:tc>
        <w:tc>
          <w:tcPr>
            <w:tcW w:w="1385" w:type="dxa"/>
            <w:noWrap w:val="0"/>
            <w:vAlign w:val="center"/>
          </w:tcPr>
          <w:p w14:paraId="7F8266F2">
            <w:pPr>
              <w:spacing w:line="0" w:lineRule="atLeast"/>
              <w:ind w:firstLine="28"/>
              <w:jc w:val="center"/>
              <w:rPr>
                <w:rFonts w:eastAsia="方正仿宋_GBK"/>
                <w:color w:val="auto"/>
                <w:sz w:val="24"/>
                <w:highlight w:val="none"/>
              </w:rPr>
            </w:pPr>
            <w:r>
              <w:rPr>
                <w:rFonts w:hint="eastAsia" w:eastAsia="方正仿宋_GBK"/>
                <w:color w:val="auto"/>
                <w:sz w:val="24"/>
                <w:highlight w:val="none"/>
              </w:rPr>
              <w:t>磋商</w:t>
            </w:r>
            <w:r>
              <w:rPr>
                <w:rFonts w:eastAsia="方正仿宋_GBK"/>
                <w:color w:val="auto"/>
                <w:sz w:val="24"/>
                <w:highlight w:val="none"/>
              </w:rPr>
              <w:t>报价</w:t>
            </w:r>
          </w:p>
          <w:p w14:paraId="7770C38F">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w:t>
            </w:r>
            <w:r>
              <w:rPr>
                <w:rFonts w:hint="eastAsia" w:eastAsia="方正仿宋_GBK"/>
                <w:color w:val="auto"/>
                <w:sz w:val="24"/>
                <w:highlight w:val="none"/>
                <w:lang w:val="en-US" w:eastAsia="zh-CN"/>
              </w:rPr>
              <w:t>1</w:t>
            </w:r>
            <w:r>
              <w:rPr>
                <w:rFonts w:hint="eastAsia" w:eastAsia="方正仿宋_GBK"/>
                <w:color w:val="auto"/>
                <w:sz w:val="24"/>
                <w:highlight w:val="none"/>
              </w:rPr>
              <w:t>0</w:t>
            </w:r>
            <w:r>
              <w:rPr>
                <w:rFonts w:eastAsia="方正仿宋_GBK"/>
                <w:color w:val="auto"/>
                <w:sz w:val="24"/>
                <w:highlight w:val="none"/>
              </w:rPr>
              <w:t>%）</w:t>
            </w:r>
          </w:p>
        </w:tc>
        <w:tc>
          <w:tcPr>
            <w:tcW w:w="1375" w:type="dxa"/>
            <w:noWrap w:val="0"/>
            <w:vAlign w:val="center"/>
          </w:tcPr>
          <w:p w14:paraId="2506B467">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lang w:val="en-US" w:eastAsia="zh-CN"/>
              </w:rPr>
              <w:t>1</w:t>
            </w:r>
            <w:r>
              <w:rPr>
                <w:rFonts w:hint="eastAsia" w:eastAsia="方正仿宋_GBK"/>
                <w:color w:val="auto"/>
                <w:sz w:val="24"/>
                <w:highlight w:val="none"/>
              </w:rPr>
              <w:t>0</w:t>
            </w:r>
            <w:r>
              <w:rPr>
                <w:rFonts w:eastAsia="方正仿宋_GBK"/>
                <w:color w:val="auto"/>
                <w:sz w:val="24"/>
                <w:highlight w:val="none"/>
              </w:rPr>
              <w:t>分</w:t>
            </w:r>
          </w:p>
        </w:tc>
        <w:tc>
          <w:tcPr>
            <w:tcW w:w="4584" w:type="dxa"/>
            <w:noWrap w:val="0"/>
            <w:vAlign w:val="center"/>
          </w:tcPr>
          <w:p w14:paraId="208223F2">
            <w:pPr>
              <w:spacing w:line="0" w:lineRule="atLeast"/>
              <w:rPr>
                <w:rFonts w:hint="eastAsia" w:eastAsia="方正仿宋_GBK"/>
                <w:color w:val="auto"/>
                <w:sz w:val="24"/>
                <w:highlight w:val="none"/>
              </w:rPr>
            </w:pPr>
            <w:r>
              <w:rPr>
                <w:rFonts w:hint="eastAsia" w:eastAsia="方正仿宋_GBK"/>
                <w:color w:val="auto"/>
                <w:sz w:val="24"/>
                <w:highlight w:val="none"/>
              </w:rPr>
              <w:t>满足资格性、符合性要求且最后报价最低的供应商的价格为磋商基准价，其价格分为满分。其他供应商的价格分统一按照下列公式计算：</w:t>
            </w:r>
          </w:p>
          <w:p w14:paraId="7E61C479">
            <w:pPr>
              <w:spacing w:line="0" w:lineRule="atLeast"/>
              <w:jc w:val="left"/>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磋商报价得分=（磋商基准价/最后磋商报价）×价格权值×100</w:t>
            </w:r>
          </w:p>
        </w:tc>
        <w:tc>
          <w:tcPr>
            <w:tcW w:w="2312" w:type="dxa"/>
            <w:noWrap w:val="0"/>
            <w:vAlign w:val="center"/>
          </w:tcPr>
          <w:p w14:paraId="4599A19B">
            <w:pPr>
              <w:spacing w:line="0" w:lineRule="atLeast"/>
              <w:ind w:left="-38" w:leftChars="0"/>
              <w:jc w:val="center"/>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lang w:val="en-US" w:eastAsia="zh-CN"/>
              </w:rPr>
              <w:t>1</w:t>
            </w:r>
            <w:r>
              <w:rPr>
                <w:rFonts w:hint="eastAsia" w:ascii="方正仿宋_GBK" w:hAnsi="方正仿宋_GBK" w:eastAsia="方正仿宋_GBK" w:cs="方正仿宋_GBK"/>
                <w:color w:val="auto"/>
                <w:sz w:val="21"/>
                <w:szCs w:val="21"/>
                <w:highlight w:val="none"/>
              </w:rPr>
              <w:t>. 报价包含</w:t>
            </w:r>
            <w:r>
              <w:rPr>
                <w:rFonts w:hint="eastAsia" w:ascii="方正仿宋_GBK" w:hAnsi="方正仿宋_GBK" w:eastAsia="方正仿宋_GBK" w:cs="方正仿宋_GBK"/>
                <w:color w:val="auto"/>
                <w:sz w:val="21"/>
                <w:szCs w:val="21"/>
                <w:highlight w:val="none"/>
                <w:lang w:val="en-US" w:eastAsia="zh-CN"/>
              </w:rPr>
              <w:t>服务</w:t>
            </w:r>
            <w:r>
              <w:rPr>
                <w:rFonts w:hint="eastAsia" w:ascii="方正仿宋_GBK" w:hAnsi="方正仿宋_GBK" w:eastAsia="方正仿宋_GBK" w:cs="方正仿宋_GBK"/>
                <w:color w:val="auto"/>
                <w:sz w:val="21"/>
                <w:szCs w:val="21"/>
                <w:highlight w:val="none"/>
              </w:rPr>
              <w:t>周期技术服务、集成、运维等全部费用；</w:t>
            </w:r>
          </w:p>
          <w:p w14:paraId="38AC4ECD">
            <w:pPr>
              <w:spacing w:line="0" w:lineRule="atLeast"/>
              <w:ind w:left="-38" w:leftChars="0"/>
              <w:jc w:val="center"/>
              <w:rPr>
                <w:rFonts w:hint="eastAsia" w:ascii="方正仿宋_GBK" w:hAnsi="方正仿宋_GBK" w:eastAsia="方正仿宋_GBK" w:cs="方正仿宋_GBK"/>
                <w:color w:val="auto"/>
                <w:sz w:val="21"/>
                <w:szCs w:val="21"/>
                <w:highlight w:val="none"/>
              </w:rPr>
            </w:pPr>
          </w:p>
        </w:tc>
      </w:tr>
      <w:tr w14:paraId="31B1B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vMerge w:val="restart"/>
            <w:noWrap w:val="0"/>
            <w:vAlign w:val="center"/>
          </w:tcPr>
          <w:p w14:paraId="2E5D51A9">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2</w:t>
            </w:r>
          </w:p>
        </w:tc>
        <w:tc>
          <w:tcPr>
            <w:tcW w:w="1385" w:type="dxa"/>
            <w:vMerge w:val="restart"/>
            <w:noWrap w:val="0"/>
            <w:vAlign w:val="center"/>
          </w:tcPr>
          <w:p w14:paraId="0F8CEA6B">
            <w:pPr>
              <w:spacing w:line="0" w:lineRule="atLeast"/>
              <w:ind w:firstLine="28"/>
              <w:jc w:val="center"/>
              <w:rPr>
                <w:rFonts w:eastAsia="方正仿宋_GBK"/>
                <w:color w:val="auto"/>
                <w:sz w:val="24"/>
                <w:highlight w:val="none"/>
              </w:rPr>
            </w:pPr>
            <w:r>
              <w:rPr>
                <w:rFonts w:hint="eastAsia" w:eastAsia="方正仿宋_GBK"/>
                <w:color w:val="auto"/>
                <w:sz w:val="24"/>
                <w:highlight w:val="none"/>
                <w:lang w:eastAsia="zh-CN"/>
              </w:rPr>
              <w:t>服务</w:t>
            </w:r>
            <w:r>
              <w:rPr>
                <w:rFonts w:eastAsia="方正仿宋_GBK"/>
                <w:color w:val="auto"/>
                <w:sz w:val="24"/>
                <w:highlight w:val="none"/>
              </w:rPr>
              <w:t>部分</w:t>
            </w:r>
          </w:p>
          <w:p w14:paraId="04CD42D3">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w:t>
            </w:r>
            <w:r>
              <w:rPr>
                <w:rFonts w:hint="eastAsia" w:eastAsia="方正仿宋_GBK"/>
                <w:color w:val="auto"/>
                <w:sz w:val="24"/>
                <w:highlight w:val="none"/>
                <w:lang w:val="en-US" w:eastAsia="zh-CN"/>
              </w:rPr>
              <w:t>50</w:t>
            </w:r>
            <w:r>
              <w:rPr>
                <w:rFonts w:eastAsia="方正仿宋_GBK"/>
                <w:color w:val="auto"/>
                <w:sz w:val="24"/>
                <w:highlight w:val="none"/>
              </w:rPr>
              <w:t>%）</w:t>
            </w:r>
          </w:p>
        </w:tc>
        <w:tc>
          <w:tcPr>
            <w:tcW w:w="1375" w:type="dxa"/>
            <w:noWrap w:val="0"/>
            <w:vAlign w:val="center"/>
          </w:tcPr>
          <w:p w14:paraId="78DF637A">
            <w:pPr>
              <w:spacing w:line="0" w:lineRule="atLeast"/>
              <w:jc w:val="center"/>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lang w:val="en-US" w:eastAsia="zh-CN"/>
              </w:rPr>
              <w:t>15</w:t>
            </w:r>
            <w:r>
              <w:rPr>
                <w:rFonts w:eastAsia="方正仿宋_GBK"/>
                <w:color w:val="auto"/>
                <w:sz w:val="24"/>
                <w:highlight w:val="none"/>
              </w:rPr>
              <w:t>分</w:t>
            </w:r>
          </w:p>
        </w:tc>
        <w:tc>
          <w:tcPr>
            <w:tcW w:w="4584" w:type="dxa"/>
            <w:noWrap w:val="0"/>
            <w:vAlign w:val="center"/>
          </w:tcPr>
          <w:p w14:paraId="54CA0E71">
            <w:pPr>
              <w:spacing w:line="0" w:lineRule="atLeast"/>
              <w:rPr>
                <w:rFonts w:eastAsia="方正仿宋_GBK"/>
                <w:b/>
                <w:bCs/>
                <w:color w:val="auto"/>
                <w:sz w:val="24"/>
                <w:highlight w:val="none"/>
              </w:rPr>
            </w:pPr>
            <w:r>
              <w:rPr>
                <w:rFonts w:hint="eastAsia" w:eastAsia="方正仿宋_GBK"/>
                <w:b/>
                <w:bCs/>
                <w:color w:val="auto"/>
                <w:sz w:val="24"/>
                <w:highlight w:val="none"/>
                <w:lang w:eastAsia="zh-CN"/>
              </w:rPr>
              <w:t>项目理解与需求匹配度</w:t>
            </w:r>
            <w:r>
              <w:rPr>
                <w:rFonts w:eastAsia="方正仿宋_GBK"/>
                <w:b/>
                <w:bCs/>
                <w:color w:val="auto"/>
                <w:sz w:val="24"/>
                <w:highlight w:val="none"/>
              </w:rPr>
              <w:t>（</w:t>
            </w:r>
            <w:r>
              <w:rPr>
                <w:rFonts w:hint="eastAsia" w:eastAsia="方正仿宋_GBK"/>
                <w:b/>
                <w:bCs/>
                <w:color w:val="auto"/>
                <w:sz w:val="24"/>
                <w:highlight w:val="none"/>
                <w:lang w:val="en-US" w:eastAsia="zh-CN"/>
              </w:rPr>
              <w:t>15</w:t>
            </w:r>
            <w:r>
              <w:rPr>
                <w:rFonts w:eastAsia="方正仿宋_GBK"/>
                <w:b/>
                <w:bCs/>
                <w:color w:val="auto"/>
                <w:sz w:val="24"/>
                <w:highlight w:val="none"/>
              </w:rPr>
              <w:t>分）</w:t>
            </w:r>
          </w:p>
          <w:p w14:paraId="0F80AC6B">
            <w:pPr>
              <w:spacing w:line="0" w:lineRule="atLeast"/>
              <w:rPr>
                <w:rFonts w:hint="eastAsia" w:eastAsia="方正仿宋_GBK"/>
                <w:color w:val="auto"/>
                <w:sz w:val="24"/>
                <w:highlight w:val="none"/>
              </w:rPr>
            </w:pPr>
            <w:r>
              <w:rPr>
                <w:rFonts w:hint="eastAsia" w:eastAsia="方正仿宋_GBK"/>
                <w:color w:val="auto"/>
                <w:sz w:val="24"/>
                <w:highlight w:val="none"/>
              </w:rPr>
              <w:t>供应商结合项目服务需求</w:t>
            </w:r>
            <w:r>
              <w:rPr>
                <w:rFonts w:hint="eastAsia" w:eastAsia="方正仿宋_GBK"/>
                <w:color w:val="auto"/>
                <w:sz w:val="24"/>
                <w:highlight w:val="none"/>
                <w:lang w:val="en-US" w:eastAsia="zh-CN"/>
              </w:rPr>
              <w:t>提交</w:t>
            </w:r>
            <w:r>
              <w:rPr>
                <w:rFonts w:hint="eastAsia" w:eastAsia="方正仿宋_GBK"/>
                <w:color w:val="auto"/>
                <w:sz w:val="24"/>
                <w:highlight w:val="none"/>
              </w:rPr>
              <w:t>《项目理解与需求分析</w:t>
            </w:r>
            <w:r>
              <w:rPr>
                <w:rFonts w:hint="eastAsia" w:eastAsia="方正仿宋_GBK"/>
                <w:color w:val="auto"/>
                <w:sz w:val="24"/>
                <w:highlight w:val="none"/>
                <w:lang w:val="en-US" w:eastAsia="zh-CN"/>
              </w:rPr>
              <w:t>方案</w:t>
            </w:r>
            <w:r>
              <w:rPr>
                <w:rFonts w:hint="eastAsia" w:eastAsia="方正仿宋_GBK"/>
                <w:color w:val="auto"/>
                <w:sz w:val="24"/>
                <w:highlight w:val="none"/>
              </w:rPr>
              <w:t>》</w:t>
            </w:r>
            <w:r>
              <w:rPr>
                <w:rFonts w:hint="eastAsia" w:eastAsia="方正仿宋_GBK"/>
                <w:color w:val="auto"/>
                <w:sz w:val="24"/>
                <w:highlight w:val="none"/>
                <w:lang w:eastAsia="zh-CN"/>
              </w:rPr>
              <w:t>。</w:t>
            </w:r>
            <w:r>
              <w:rPr>
                <w:rFonts w:hint="eastAsia" w:eastAsia="方正仿宋_GBK"/>
                <w:color w:val="auto"/>
                <w:sz w:val="24"/>
                <w:highlight w:val="none"/>
                <w:lang w:val="en-US" w:eastAsia="zh-CN"/>
              </w:rPr>
              <w:t>方案</w:t>
            </w:r>
            <w:r>
              <w:rPr>
                <w:rFonts w:hint="eastAsia" w:eastAsia="方正仿宋_GBK"/>
                <w:color w:val="auto"/>
                <w:sz w:val="24"/>
                <w:highlight w:val="none"/>
              </w:rPr>
              <w:t>核心内容</w:t>
            </w:r>
            <w:r>
              <w:rPr>
                <w:rFonts w:hint="eastAsia" w:eastAsia="方正仿宋_GBK"/>
                <w:color w:val="auto"/>
                <w:sz w:val="24"/>
                <w:highlight w:val="none"/>
                <w:lang w:val="en-US" w:eastAsia="zh-CN"/>
              </w:rPr>
              <w:t>包括但不限于</w:t>
            </w:r>
            <w:r>
              <w:rPr>
                <w:rFonts w:hint="eastAsia" w:eastAsia="方正仿宋_GBK"/>
                <w:color w:val="auto"/>
                <w:sz w:val="24"/>
                <w:highlight w:val="none"/>
              </w:rPr>
              <w:t>：项目背景解读、总体目标认知、系统六层架构理解、渝工娘家人平台嵌入需求匹配、文体消费券全生命周期需求分析、项目实施思路</w:t>
            </w:r>
          </w:p>
          <w:p w14:paraId="444A744D">
            <w:pPr>
              <w:spacing w:line="0" w:lineRule="atLeast"/>
              <w:rPr>
                <w:rFonts w:hint="eastAsia" w:eastAsia="方正仿宋_GBK"/>
                <w:color w:val="auto"/>
                <w:sz w:val="24"/>
                <w:highlight w:val="none"/>
              </w:rPr>
            </w:pPr>
            <w:r>
              <w:rPr>
                <w:rFonts w:hint="eastAsia" w:eastAsia="方正仿宋_GBK"/>
                <w:color w:val="auto"/>
                <w:sz w:val="24"/>
                <w:highlight w:val="none"/>
              </w:rPr>
              <w:t>方案内容不存在瑕疵得</w:t>
            </w:r>
            <w:r>
              <w:rPr>
                <w:rFonts w:hint="eastAsia" w:eastAsia="方正仿宋_GBK"/>
                <w:color w:val="auto"/>
                <w:sz w:val="24"/>
                <w:highlight w:val="none"/>
                <w:lang w:val="en-US" w:eastAsia="zh-CN"/>
              </w:rPr>
              <w:t>15</w:t>
            </w:r>
            <w:r>
              <w:rPr>
                <w:rFonts w:hint="eastAsia" w:eastAsia="方正仿宋_GBK"/>
                <w:color w:val="auto"/>
                <w:sz w:val="24"/>
                <w:highlight w:val="none"/>
              </w:rPr>
              <w:t>分；</w:t>
            </w:r>
          </w:p>
          <w:p w14:paraId="3207511C">
            <w:pPr>
              <w:spacing w:line="0" w:lineRule="atLeast"/>
              <w:rPr>
                <w:rFonts w:hint="eastAsia" w:eastAsia="方正仿宋_GBK"/>
                <w:color w:val="auto"/>
                <w:sz w:val="24"/>
                <w:highlight w:val="none"/>
              </w:rPr>
            </w:pPr>
            <w:r>
              <w:rPr>
                <w:rFonts w:hint="eastAsia" w:eastAsia="方正仿宋_GBK"/>
                <w:color w:val="auto"/>
                <w:sz w:val="24"/>
                <w:highlight w:val="none"/>
              </w:rPr>
              <w:t>方案内容存在1处瑕疵得</w:t>
            </w:r>
            <w:r>
              <w:rPr>
                <w:rFonts w:hint="eastAsia" w:eastAsia="方正仿宋_GBK"/>
                <w:color w:val="auto"/>
                <w:sz w:val="24"/>
                <w:highlight w:val="none"/>
                <w:lang w:val="en-US" w:eastAsia="zh-CN"/>
              </w:rPr>
              <w:t>11</w:t>
            </w:r>
            <w:r>
              <w:rPr>
                <w:rFonts w:hint="eastAsia" w:eastAsia="方正仿宋_GBK"/>
                <w:color w:val="auto"/>
                <w:sz w:val="24"/>
                <w:highlight w:val="none"/>
              </w:rPr>
              <w:t>分；</w:t>
            </w:r>
          </w:p>
          <w:p w14:paraId="22F1D0AC">
            <w:pPr>
              <w:spacing w:line="0" w:lineRule="atLeast"/>
              <w:rPr>
                <w:rFonts w:hint="eastAsia" w:eastAsia="方正仿宋_GBK"/>
                <w:color w:val="auto"/>
                <w:sz w:val="24"/>
                <w:highlight w:val="none"/>
              </w:rPr>
            </w:pPr>
            <w:r>
              <w:rPr>
                <w:rFonts w:hint="eastAsia" w:eastAsia="方正仿宋_GBK"/>
                <w:color w:val="auto"/>
                <w:sz w:val="24"/>
                <w:highlight w:val="none"/>
              </w:rPr>
              <w:t>方案内容存在2处瑕疵得</w:t>
            </w:r>
            <w:r>
              <w:rPr>
                <w:rFonts w:hint="eastAsia" w:eastAsia="方正仿宋_GBK"/>
                <w:color w:val="auto"/>
                <w:sz w:val="24"/>
                <w:highlight w:val="none"/>
                <w:lang w:val="en-US" w:eastAsia="zh-CN"/>
              </w:rPr>
              <w:t>7</w:t>
            </w:r>
            <w:r>
              <w:rPr>
                <w:rFonts w:hint="eastAsia" w:eastAsia="方正仿宋_GBK"/>
                <w:color w:val="auto"/>
                <w:sz w:val="24"/>
                <w:highlight w:val="none"/>
              </w:rPr>
              <w:t>分；</w:t>
            </w:r>
          </w:p>
          <w:p w14:paraId="7B56DF53">
            <w:pPr>
              <w:spacing w:line="0" w:lineRule="atLeast"/>
              <w:rPr>
                <w:rFonts w:hint="eastAsia" w:eastAsia="方正仿宋_GBK"/>
                <w:color w:val="auto"/>
                <w:sz w:val="24"/>
                <w:highlight w:val="none"/>
              </w:rPr>
            </w:pPr>
            <w:r>
              <w:rPr>
                <w:rFonts w:hint="eastAsia" w:eastAsia="方正仿宋_GBK"/>
                <w:color w:val="auto"/>
                <w:sz w:val="24"/>
                <w:highlight w:val="none"/>
              </w:rPr>
              <w:t>方案内容存在3处瑕疵得</w:t>
            </w:r>
            <w:r>
              <w:rPr>
                <w:rFonts w:hint="eastAsia" w:eastAsia="方正仿宋_GBK"/>
                <w:color w:val="auto"/>
                <w:sz w:val="24"/>
                <w:highlight w:val="none"/>
                <w:lang w:val="en-US" w:eastAsia="zh-CN"/>
              </w:rPr>
              <w:t>3</w:t>
            </w:r>
            <w:r>
              <w:rPr>
                <w:rFonts w:hint="eastAsia" w:eastAsia="方正仿宋_GBK"/>
                <w:color w:val="auto"/>
                <w:sz w:val="24"/>
                <w:highlight w:val="none"/>
              </w:rPr>
              <w:t>分；</w:t>
            </w:r>
          </w:p>
          <w:p w14:paraId="372BAAA2">
            <w:pPr>
              <w:spacing w:line="0" w:lineRule="atLeast"/>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方案内容存在4处及以上瑕疵的或未提供不得分。</w:t>
            </w:r>
          </w:p>
        </w:tc>
        <w:tc>
          <w:tcPr>
            <w:tcW w:w="2312" w:type="dxa"/>
            <w:vMerge w:val="restart"/>
            <w:noWrap w:val="0"/>
            <w:vAlign w:val="center"/>
          </w:tcPr>
          <w:p w14:paraId="7D0BF303">
            <w:pPr>
              <w:spacing w:line="0" w:lineRule="atLeast"/>
              <w:jc w:val="center"/>
              <w:rPr>
                <w:rFonts w:hint="eastAsia" w:eastAsia="方正仿宋_GBK"/>
                <w:color w:val="auto"/>
                <w:sz w:val="24"/>
                <w:highlight w:val="none"/>
              </w:rPr>
            </w:pPr>
            <w:r>
              <w:rPr>
                <w:rFonts w:hint="eastAsia" w:eastAsia="方正仿宋_GBK"/>
                <w:color w:val="auto"/>
                <w:sz w:val="24"/>
                <w:highlight w:val="none"/>
              </w:rPr>
              <w:t>1.提供方案（格式自定）</w:t>
            </w:r>
          </w:p>
          <w:p w14:paraId="5D8ADE81">
            <w:pPr>
              <w:spacing w:line="0" w:lineRule="atLeast"/>
              <w:jc w:val="center"/>
              <w:rPr>
                <w:rFonts w:hint="eastAsia" w:eastAsia="方正仿宋_GBK"/>
                <w:color w:val="auto"/>
                <w:sz w:val="24"/>
                <w:highlight w:val="none"/>
              </w:rPr>
            </w:pPr>
            <w:r>
              <w:rPr>
                <w:rFonts w:hint="eastAsia" w:eastAsia="方正仿宋_GBK"/>
                <w:color w:val="auto"/>
                <w:sz w:val="24"/>
                <w:highlight w:val="none"/>
              </w:rPr>
              <w:t>2.本项内容中所称的“瑕疵”指：</w:t>
            </w:r>
          </w:p>
          <w:p w14:paraId="6B1360B3">
            <w:pPr>
              <w:spacing w:line="0" w:lineRule="atLeast"/>
              <w:jc w:val="center"/>
              <w:rPr>
                <w:rFonts w:hint="eastAsia" w:eastAsia="方正仿宋_GBK"/>
                <w:color w:val="auto"/>
                <w:sz w:val="24"/>
                <w:highlight w:val="none"/>
              </w:rPr>
            </w:pPr>
            <w:r>
              <w:rPr>
                <w:rFonts w:hint="eastAsia" w:eastAsia="方正仿宋_GBK"/>
                <w:color w:val="auto"/>
                <w:sz w:val="24"/>
                <w:highlight w:val="none"/>
              </w:rPr>
              <w:t>（1）方案内容缺项、内容表述不完整、缺少关键分析点；</w:t>
            </w:r>
          </w:p>
          <w:p w14:paraId="740C6B5F">
            <w:pPr>
              <w:spacing w:line="0" w:lineRule="atLeast"/>
              <w:jc w:val="center"/>
              <w:rPr>
                <w:rFonts w:hint="eastAsia" w:eastAsia="方正仿宋_GBK"/>
                <w:color w:val="auto"/>
                <w:sz w:val="24"/>
                <w:highlight w:val="none"/>
              </w:rPr>
            </w:pPr>
            <w:r>
              <w:rPr>
                <w:rFonts w:hint="eastAsia" w:eastAsia="方正仿宋_GBK"/>
                <w:color w:val="auto"/>
                <w:sz w:val="24"/>
                <w:highlight w:val="none"/>
              </w:rPr>
              <w:t>（2）方案内容表述前后矛盾、无连贯性；</w:t>
            </w:r>
          </w:p>
          <w:p w14:paraId="2A6DB207">
            <w:pPr>
              <w:spacing w:line="0" w:lineRule="atLeast"/>
              <w:jc w:val="center"/>
              <w:rPr>
                <w:rFonts w:hint="eastAsia" w:eastAsia="方正仿宋_GBK"/>
                <w:color w:val="auto"/>
                <w:sz w:val="24"/>
                <w:highlight w:val="none"/>
              </w:rPr>
            </w:pPr>
            <w:r>
              <w:rPr>
                <w:rFonts w:hint="eastAsia" w:eastAsia="方正仿宋_GBK"/>
                <w:color w:val="auto"/>
                <w:sz w:val="24"/>
                <w:highlight w:val="none"/>
              </w:rPr>
              <w:t>（3）内容存在逻辑漏洞、常识错误、科学原理错误；</w:t>
            </w:r>
          </w:p>
          <w:p w14:paraId="201BC8D0">
            <w:pPr>
              <w:spacing w:line="0" w:lineRule="atLeast"/>
              <w:jc w:val="center"/>
              <w:rPr>
                <w:rFonts w:hint="eastAsia" w:eastAsia="方正仿宋_GBK"/>
                <w:color w:val="auto"/>
                <w:sz w:val="24"/>
                <w:highlight w:val="none"/>
              </w:rPr>
            </w:pPr>
            <w:r>
              <w:rPr>
                <w:rFonts w:hint="eastAsia" w:eastAsia="方正仿宋_GBK"/>
                <w:color w:val="auto"/>
                <w:sz w:val="24"/>
                <w:highlight w:val="none"/>
              </w:rPr>
              <w:t>（4）措施安排并不适用本项目特性或非专门针对本项目制定；</w:t>
            </w:r>
          </w:p>
          <w:p w14:paraId="2688F065">
            <w:pPr>
              <w:spacing w:line="0" w:lineRule="atLeast"/>
              <w:jc w:val="center"/>
              <w:rPr>
                <w:rFonts w:hint="eastAsia" w:eastAsia="方正仿宋_GBK"/>
                <w:color w:val="auto"/>
                <w:sz w:val="24"/>
                <w:highlight w:val="none"/>
              </w:rPr>
            </w:pPr>
            <w:r>
              <w:rPr>
                <w:rFonts w:hint="eastAsia" w:eastAsia="方正仿宋_GBK"/>
                <w:color w:val="auto"/>
                <w:sz w:val="24"/>
                <w:highlight w:val="none"/>
              </w:rPr>
              <w:t>（5）方案中提出的措施举措不利于本项目目标的实现；</w:t>
            </w:r>
          </w:p>
          <w:p w14:paraId="6671FA07">
            <w:pPr>
              <w:spacing w:line="0" w:lineRule="atLeast"/>
              <w:jc w:val="center"/>
              <w:rPr>
                <w:rFonts w:hint="eastAsia" w:eastAsia="方正仿宋_GBK"/>
                <w:color w:val="auto"/>
                <w:sz w:val="24"/>
                <w:highlight w:val="none"/>
              </w:rPr>
            </w:pPr>
            <w:r>
              <w:rPr>
                <w:rFonts w:hint="eastAsia" w:eastAsia="方正仿宋_GBK"/>
                <w:color w:val="auto"/>
                <w:sz w:val="24"/>
                <w:highlight w:val="none"/>
              </w:rPr>
              <w:t>（6）内容空泛，无具体方法或内容或可行性差；</w:t>
            </w:r>
          </w:p>
          <w:p w14:paraId="5D00D930">
            <w:pPr>
              <w:spacing w:line="0" w:lineRule="atLeast"/>
              <w:jc w:val="center"/>
              <w:rPr>
                <w:rFonts w:hint="eastAsia" w:eastAsia="方正仿宋_GBK"/>
                <w:color w:val="auto"/>
                <w:sz w:val="24"/>
                <w:highlight w:val="none"/>
              </w:rPr>
            </w:pPr>
            <w:r>
              <w:rPr>
                <w:rFonts w:hint="eastAsia" w:eastAsia="方正仿宋_GBK"/>
                <w:color w:val="auto"/>
                <w:sz w:val="24"/>
                <w:highlight w:val="none"/>
              </w:rPr>
              <w:t>（7）现有技术条件下不可能实现的情形。</w:t>
            </w:r>
          </w:p>
          <w:p w14:paraId="663629D2">
            <w:pPr>
              <w:spacing w:line="0" w:lineRule="atLeast"/>
              <w:jc w:val="center"/>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上述任意一种情形为1处瑕疵。</w:t>
            </w:r>
          </w:p>
        </w:tc>
      </w:tr>
      <w:tr w14:paraId="5FD9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vMerge w:val="continue"/>
            <w:noWrap w:val="0"/>
            <w:vAlign w:val="center"/>
          </w:tcPr>
          <w:p w14:paraId="26F2CF5C">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85" w:type="dxa"/>
            <w:vMerge w:val="continue"/>
            <w:noWrap w:val="0"/>
            <w:vAlign w:val="center"/>
          </w:tcPr>
          <w:p w14:paraId="36FADDF0">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75" w:type="dxa"/>
            <w:noWrap w:val="0"/>
            <w:vAlign w:val="center"/>
          </w:tcPr>
          <w:p w14:paraId="40A60397">
            <w:pPr>
              <w:spacing w:line="0" w:lineRule="atLeast"/>
              <w:jc w:val="center"/>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lang w:val="en-US" w:eastAsia="zh-CN"/>
              </w:rPr>
              <w:t>15</w:t>
            </w:r>
            <w:r>
              <w:rPr>
                <w:rFonts w:eastAsia="方正仿宋_GBK"/>
                <w:color w:val="auto"/>
                <w:sz w:val="24"/>
                <w:highlight w:val="none"/>
              </w:rPr>
              <w:t>分</w:t>
            </w:r>
          </w:p>
        </w:tc>
        <w:tc>
          <w:tcPr>
            <w:tcW w:w="4584" w:type="dxa"/>
            <w:noWrap w:val="0"/>
            <w:vAlign w:val="center"/>
          </w:tcPr>
          <w:p w14:paraId="73775AE0">
            <w:pPr>
              <w:spacing w:line="0" w:lineRule="atLeast"/>
              <w:rPr>
                <w:rFonts w:eastAsia="方正仿宋_GBK"/>
                <w:b/>
                <w:bCs/>
                <w:color w:val="auto"/>
                <w:sz w:val="24"/>
                <w:highlight w:val="none"/>
              </w:rPr>
            </w:pPr>
            <w:r>
              <w:rPr>
                <w:rFonts w:hint="eastAsia" w:eastAsia="方正仿宋_GBK"/>
                <w:b/>
                <w:bCs/>
                <w:color w:val="auto"/>
                <w:sz w:val="24"/>
                <w:highlight w:val="none"/>
                <w:lang w:eastAsia="zh-CN"/>
              </w:rPr>
              <w:t>技术方案与系统实现能力</w:t>
            </w:r>
            <w:r>
              <w:rPr>
                <w:rFonts w:eastAsia="方正仿宋_GBK"/>
                <w:b/>
                <w:bCs/>
                <w:color w:val="auto"/>
                <w:sz w:val="24"/>
                <w:highlight w:val="none"/>
              </w:rPr>
              <w:t>（</w:t>
            </w:r>
            <w:r>
              <w:rPr>
                <w:rFonts w:hint="eastAsia" w:eastAsia="方正仿宋_GBK"/>
                <w:b/>
                <w:bCs/>
                <w:color w:val="auto"/>
                <w:sz w:val="24"/>
                <w:highlight w:val="none"/>
                <w:lang w:val="en-US" w:eastAsia="zh-CN"/>
              </w:rPr>
              <w:t>15</w:t>
            </w:r>
            <w:r>
              <w:rPr>
                <w:rFonts w:eastAsia="方正仿宋_GBK"/>
                <w:b/>
                <w:bCs/>
                <w:color w:val="auto"/>
                <w:sz w:val="24"/>
                <w:highlight w:val="none"/>
              </w:rPr>
              <w:t>分）</w:t>
            </w:r>
          </w:p>
          <w:p w14:paraId="6A6FC663">
            <w:pPr>
              <w:spacing w:line="0" w:lineRule="atLeast"/>
              <w:rPr>
                <w:rFonts w:hint="eastAsia" w:eastAsia="方正仿宋_GBK"/>
                <w:color w:val="auto"/>
                <w:sz w:val="24"/>
                <w:highlight w:val="none"/>
              </w:rPr>
            </w:pPr>
            <w:r>
              <w:rPr>
                <w:rFonts w:hint="eastAsia" w:eastAsia="方正仿宋_GBK"/>
                <w:color w:val="auto"/>
                <w:sz w:val="24"/>
                <w:highlight w:val="none"/>
              </w:rPr>
              <w:t>供应商针对本项目服务需求编制《技术实施方案》</w:t>
            </w:r>
            <w:r>
              <w:rPr>
                <w:rFonts w:hint="eastAsia" w:eastAsia="方正仿宋_GBK"/>
                <w:color w:val="auto"/>
                <w:sz w:val="24"/>
                <w:highlight w:val="none"/>
                <w:lang w:eastAsia="zh-CN"/>
              </w:rPr>
              <w:t>。</w:t>
            </w:r>
            <w:r>
              <w:rPr>
                <w:rFonts w:hint="eastAsia" w:eastAsia="方正仿宋_GBK"/>
                <w:color w:val="auto"/>
                <w:sz w:val="24"/>
                <w:highlight w:val="none"/>
              </w:rPr>
              <w:t>方案核心内容</w:t>
            </w:r>
            <w:r>
              <w:rPr>
                <w:rFonts w:hint="eastAsia" w:eastAsia="方正仿宋_GBK"/>
                <w:color w:val="auto"/>
                <w:sz w:val="24"/>
                <w:highlight w:val="none"/>
                <w:lang w:val="en-US" w:eastAsia="zh-CN"/>
              </w:rPr>
              <w:t>包括但不限于</w:t>
            </w:r>
            <w:r>
              <w:rPr>
                <w:rFonts w:hint="eastAsia" w:eastAsia="方正仿宋_GBK"/>
                <w:color w:val="auto"/>
                <w:sz w:val="24"/>
                <w:highlight w:val="none"/>
              </w:rPr>
              <w:t>：平台集成（H5 嵌入）方案、系统功能模块设计、软硬件信创配置、微服务架构、高可用 / 高并发实现、等保 2.0 三级、同城双活 / 异地容灾、数据安全防护</w:t>
            </w:r>
          </w:p>
          <w:p w14:paraId="6E72FC59">
            <w:pPr>
              <w:spacing w:line="0" w:lineRule="atLeast"/>
              <w:rPr>
                <w:rFonts w:hint="eastAsia" w:eastAsia="方正仿宋_GBK"/>
                <w:color w:val="auto"/>
                <w:sz w:val="24"/>
                <w:highlight w:val="none"/>
              </w:rPr>
            </w:pPr>
            <w:r>
              <w:rPr>
                <w:rFonts w:hint="eastAsia" w:eastAsia="方正仿宋_GBK"/>
                <w:color w:val="auto"/>
                <w:sz w:val="24"/>
                <w:highlight w:val="none"/>
              </w:rPr>
              <w:t>方案内容不存在瑕疵得</w:t>
            </w:r>
            <w:r>
              <w:rPr>
                <w:rFonts w:hint="eastAsia" w:eastAsia="方正仿宋_GBK"/>
                <w:color w:val="auto"/>
                <w:sz w:val="24"/>
                <w:highlight w:val="none"/>
                <w:lang w:val="en-US" w:eastAsia="zh-CN"/>
              </w:rPr>
              <w:t>15</w:t>
            </w:r>
            <w:r>
              <w:rPr>
                <w:rFonts w:hint="eastAsia" w:eastAsia="方正仿宋_GBK"/>
                <w:color w:val="auto"/>
                <w:sz w:val="24"/>
                <w:highlight w:val="none"/>
              </w:rPr>
              <w:t>分；</w:t>
            </w:r>
          </w:p>
          <w:p w14:paraId="68FEACBD">
            <w:pPr>
              <w:spacing w:line="0" w:lineRule="atLeast"/>
              <w:rPr>
                <w:rFonts w:hint="eastAsia" w:eastAsia="方正仿宋_GBK"/>
                <w:color w:val="auto"/>
                <w:sz w:val="24"/>
                <w:highlight w:val="none"/>
              </w:rPr>
            </w:pPr>
            <w:r>
              <w:rPr>
                <w:rFonts w:hint="eastAsia" w:eastAsia="方正仿宋_GBK"/>
                <w:color w:val="auto"/>
                <w:sz w:val="24"/>
                <w:highlight w:val="none"/>
              </w:rPr>
              <w:t>方案内容存在1处瑕疵得</w:t>
            </w:r>
            <w:r>
              <w:rPr>
                <w:rFonts w:hint="eastAsia" w:eastAsia="方正仿宋_GBK"/>
                <w:color w:val="auto"/>
                <w:sz w:val="24"/>
                <w:highlight w:val="none"/>
                <w:lang w:val="en-US" w:eastAsia="zh-CN"/>
              </w:rPr>
              <w:t>11</w:t>
            </w:r>
            <w:r>
              <w:rPr>
                <w:rFonts w:hint="eastAsia" w:eastAsia="方正仿宋_GBK"/>
                <w:color w:val="auto"/>
                <w:sz w:val="24"/>
                <w:highlight w:val="none"/>
              </w:rPr>
              <w:t>分；</w:t>
            </w:r>
          </w:p>
          <w:p w14:paraId="7709C073">
            <w:pPr>
              <w:spacing w:line="0" w:lineRule="atLeast"/>
              <w:rPr>
                <w:rFonts w:hint="eastAsia" w:eastAsia="方正仿宋_GBK"/>
                <w:color w:val="auto"/>
                <w:sz w:val="24"/>
                <w:highlight w:val="none"/>
              </w:rPr>
            </w:pPr>
            <w:r>
              <w:rPr>
                <w:rFonts w:hint="eastAsia" w:eastAsia="方正仿宋_GBK"/>
                <w:color w:val="auto"/>
                <w:sz w:val="24"/>
                <w:highlight w:val="none"/>
              </w:rPr>
              <w:t>方案内容存在2处瑕疵得</w:t>
            </w:r>
            <w:r>
              <w:rPr>
                <w:rFonts w:hint="eastAsia" w:eastAsia="方正仿宋_GBK"/>
                <w:color w:val="auto"/>
                <w:sz w:val="24"/>
                <w:highlight w:val="none"/>
                <w:lang w:val="en-US" w:eastAsia="zh-CN"/>
              </w:rPr>
              <w:t>7</w:t>
            </w:r>
            <w:r>
              <w:rPr>
                <w:rFonts w:hint="eastAsia" w:eastAsia="方正仿宋_GBK"/>
                <w:color w:val="auto"/>
                <w:sz w:val="24"/>
                <w:highlight w:val="none"/>
              </w:rPr>
              <w:t>分；</w:t>
            </w:r>
          </w:p>
          <w:p w14:paraId="40C2FEF4">
            <w:pPr>
              <w:spacing w:line="0" w:lineRule="atLeast"/>
              <w:rPr>
                <w:rFonts w:hint="eastAsia" w:eastAsia="方正仿宋_GBK"/>
                <w:color w:val="auto"/>
                <w:sz w:val="24"/>
                <w:highlight w:val="none"/>
              </w:rPr>
            </w:pPr>
            <w:r>
              <w:rPr>
                <w:rFonts w:hint="eastAsia" w:eastAsia="方正仿宋_GBK"/>
                <w:color w:val="auto"/>
                <w:sz w:val="24"/>
                <w:highlight w:val="none"/>
              </w:rPr>
              <w:t>方案内容存在3处瑕疵得</w:t>
            </w:r>
            <w:r>
              <w:rPr>
                <w:rFonts w:hint="eastAsia" w:eastAsia="方正仿宋_GBK"/>
                <w:color w:val="auto"/>
                <w:sz w:val="24"/>
                <w:highlight w:val="none"/>
                <w:lang w:val="en-US" w:eastAsia="zh-CN"/>
              </w:rPr>
              <w:t>3</w:t>
            </w:r>
            <w:r>
              <w:rPr>
                <w:rFonts w:hint="eastAsia" w:eastAsia="方正仿宋_GBK"/>
                <w:color w:val="auto"/>
                <w:sz w:val="24"/>
                <w:highlight w:val="none"/>
              </w:rPr>
              <w:t>分；</w:t>
            </w:r>
          </w:p>
          <w:p w14:paraId="12C1B143">
            <w:pPr>
              <w:spacing w:line="0" w:lineRule="atLeast"/>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方案内容存在4处及以上瑕疵的或未提供不得分。</w:t>
            </w:r>
          </w:p>
        </w:tc>
        <w:tc>
          <w:tcPr>
            <w:tcW w:w="2312" w:type="dxa"/>
            <w:vMerge w:val="continue"/>
            <w:noWrap w:val="0"/>
            <w:vAlign w:val="center"/>
          </w:tcPr>
          <w:p w14:paraId="7B1F20E2">
            <w:pPr>
              <w:spacing w:line="0" w:lineRule="atLeast"/>
              <w:jc w:val="center"/>
              <w:rPr>
                <w:rFonts w:hint="eastAsia" w:ascii="方正仿宋_GBK" w:hAnsi="方正仿宋_GBK" w:eastAsia="方正仿宋_GBK" w:cs="方正仿宋_GBK"/>
                <w:color w:val="auto"/>
                <w:sz w:val="21"/>
                <w:szCs w:val="21"/>
                <w:highlight w:val="none"/>
              </w:rPr>
            </w:pPr>
          </w:p>
        </w:tc>
      </w:tr>
      <w:tr w14:paraId="62EC4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vMerge w:val="continue"/>
            <w:noWrap w:val="0"/>
            <w:vAlign w:val="center"/>
          </w:tcPr>
          <w:p w14:paraId="438DB6D9">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85" w:type="dxa"/>
            <w:vMerge w:val="continue"/>
            <w:noWrap w:val="0"/>
            <w:vAlign w:val="center"/>
          </w:tcPr>
          <w:p w14:paraId="1D63145D">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75" w:type="dxa"/>
            <w:noWrap w:val="0"/>
            <w:vAlign w:val="center"/>
          </w:tcPr>
          <w:p w14:paraId="6CBD4C96">
            <w:pPr>
              <w:spacing w:line="0" w:lineRule="atLeast"/>
              <w:jc w:val="center"/>
              <w:rPr>
                <w:rFonts w:hint="eastAsia" w:ascii="方正仿宋_GBK" w:hAnsi="方正仿宋_GBK" w:eastAsia="方正仿宋_GBK" w:cs="方正仿宋_GBK"/>
                <w:color w:val="auto"/>
                <w:sz w:val="21"/>
                <w:szCs w:val="21"/>
                <w:highlight w:val="none"/>
                <w:lang w:eastAsia="zh-CN"/>
              </w:rPr>
            </w:pPr>
            <w:r>
              <w:rPr>
                <w:rFonts w:hint="eastAsia" w:eastAsia="方正仿宋_GBK"/>
                <w:color w:val="auto"/>
                <w:sz w:val="24"/>
                <w:highlight w:val="none"/>
                <w:lang w:val="en-US" w:eastAsia="zh-CN"/>
              </w:rPr>
              <w:t>15</w:t>
            </w:r>
            <w:r>
              <w:rPr>
                <w:rFonts w:hint="eastAsia" w:ascii="Times New Roman" w:hAnsi="Times New Roman" w:eastAsia="方正仿宋_GBK" w:cs="Times New Roman"/>
                <w:color w:val="auto"/>
                <w:sz w:val="24"/>
                <w:highlight w:val="none"/>
                <w:lang w:val="en-US" w:eastAsia="zh-CN"/>
              </w:rPr>
              <w:t>分</w:t>
            </w:r>
          </w:p>
        </w:tc>
        <w:tc>
          <w:tcPr>
            <w:tcW w:w="4584" w:type="dxa"/>
            <w:noWrap w:val="0"/>
            <w:vAlign w:val="center"/>
          </w:tcPr>
          <w:p w14:paraId="6CA06ADC">
            <w:pPr>
              <w:spacing w:line="0" w:lineRule="atLeast"/>
              <w:rPr>
                <w:rFonts w:eastAsia="方正仿宋_GBK"/>
                <w:b/>
                <w:bCs/>
                <w:color w:val="auto"/>
                <w:sz w:val="24"/>
                <w:highlight w:val="none"/>
              </w:rPr>
            </w:pPr>
            <w:r>
              <w:rPr>
                <w:rFonts w:hint="eastAsia" w:eastAsia="方正仿宋_GBK"/>
                <w:b/>
                <w:bCs/>
                <w:color w:val="auto"/>
                <w:sz w:val="24"/>
                <w:highlight w:val="none"/>
                <w:lang w:eastAsia="zh-CN"/>
              </w:rPr>
              <w:t>实施保障与运维服务能力</w:t>
            </w:r>
            <w:r>
              <w:rPr>
                <w:rFonts w:eastAsia="方正仿宋_GBK"/>
                <w:b/>
                <w:bCs/>
                <w:color w:val="auto"/>
                <w:sz w:val="24"/>
                <w:highlight w:val="none"/>
              </w:rPr>
              <w:t>（</w:t>
            </w:r>
            <w:r>
              <w:rPr>
                <w:rFonts w:hint="eastAsia" w:eastAsia="方正仿宋_GBK"/>
                <w:b/>
                <w:bCs/>
                <w:color w:val="auto"/>
                <w:sz w:val="24"/>
                <w:highlight w:val="none"/>
                <w:lang w:val="en-US" w:eastAsia="zh-CN"/>
              </w:rPr>
              <w:t>15</w:t>
            </w:r>
            <w:r>
              <w:rPr>
                <w:rFonts w:eastAsia="方正仿宋_GBK"/>
                <w:b/>
                <w:bCs/>
                <w:color w:val="auto"/>
                <w:sz w:val="24"/>
                <w:highlight w:val="none"/>
              </w:rPr>
              <w:t>分）</w:t>
            </w:r>
          </w:p>
          <w:p w14:paraId="7DB1CF4B">
            <w:pPr>
              <w:spacing w:line="0" w:lineRule="atLeast"/>
              <w:rPr>
                <w:rFonts w:hint="eastAsia" w:eastAsia="方正仿宋_GBK"/>
                <w:color w:val="auto"/>
                <w:sz w:val="24"/>
                <w:highlight w:val="none"/>
                <w:lang w:eastAsia="zh-CN"/>
              </w:rPr>
            </w:pPr>
            <w:r>
              <w:rPr>
                <w:rFonts w:hint="eastAsia" w:eastAsia="方正仿宋_GBK"/>
                <w:color w:val="auto"/>
                <w:sz w:val="24"/>
                <w:highlight w:val="none"/>
              </w:rPr>
              <w:t>供应商针对本项目实施过程</w:t>
            </w:r>
            <w:r>
              <w:rPr>
                <w:rFonts w:hint="eastAsia" w:eastAsia="方正仿宋_GBK"/>
                <w:color w:val="auto"/>
                <w:sz w:val="24"/>
                <w:highlight w:val="none"/>
                <w:lang w:val="en-US" w:eastAsia="zh-CN"/>
              </w:rPr>
              <w:t>编制</w:t>
            </w:r>
            <w:r>
              <w:rPr>
                <w:rFonts w:hint="eastAsia" w:eastAsia="方正仿宋_GBK"/>
                <w:color w:val="auto"/>
                <w:sz w:val="24"/>
                <w:highlight w:val="none"/>
              </w:rPr>
              <w:t>《实施与运维保障方案》</w:t>
            </w:r>
            <w:r>
              <w:rPr>
                <w:rFonts w:hint="eastAsia" w:eastAsia="方正仿宋_GBK"/>
                <w:color w:val="auto"/>
                <w:sz w:val="24"/>
                <w:highlight w:val="none"/>
                <w:lang w:eastAsia="zh-CN"/>
              </w:rPr>
              <w:t>。</w:t>
            </w:r>
            <w:r>
              <w:rPr>
                <w:rFonts w:hint="eastAsia" w:eastAsia="方正仿宋_GBK"/>
                <w:color w:val="auto"/>
                <w:sz w:val="24"/>
                <w:highlight w:val="none"/>
              </w:rPr>
              <w:t>方案核心内容</w:t>
            </w:r>
            <w:r>
              <w:rPr>
                <w:rFonts w:hint="eastAsia" w:eastAsia="方正仿宋_GBK"/>
                <w:color w:val="auto"/>
                <w:sz w:val="24"/>
                <w:highlight w:val="none"/>
                <w:lang w:val="en-US" w:eastAsia="zh-CN"/>
              </w:rPr>
              <w:t>包括但不限于</w:t>
            </w:r>
            <w:r>
              <w:rPr>
                <w:rFonts w:hint="eastAsia" w:eastAsia="方正仿宋_GBK"/>
                <w:color w:val="auto"/>
                <w:sz w:val="24"/>
                <w:highlight w:val="none"/>
              </w:rPr>
              <w:t>：项目团队配置、进度保障、风险控制、数据安全方案、7×24 小时运维、故障响应与恢复机制</w:t>
            </w:r>
            <w:r>
              <w:rPr>
                <w:rFonts w:hint="eastAsia" w:eastAsia="方正仿宋_GBK"/>
                <w:color w:val="auto"/>
                <w:sz w:val="24"/>
                <w:highlight w:val="none"/>
                <w:lang w:eastAsia="zh-CN"/>
              </w:rPr>
              <w:t>。</w:t>
            </w:r>
          </w:p>
          <w:p w14:paraId="590F8D72">
            <w:pPr>
              <w:spacing w:line="0" w:lineRule="atLeast"/>
              <w:rPr>
                <w:rFonts w:hint="eastAsia" w:eastAsia="方正仿宋_GBK"/>
                <w:color w:val="auto"/>
                <w:sz w:val="24"/>
                <w:highlight w:val="none"/>
              </w:rPr>
            </w:pPr>
            <w:r>
              <w:rPr>
                <w:rFonts w:hint="eastAsia" w:eastAsia="方正仿宋_GBK"/>
                <w:color w:val="auto"/>
                <w:sz w:val="24"/>
                <w:highlight w:val="none"/>
              </w:rPr>
              <w:t>方案内容不存在瑕疵得</w:t>
            </w:r>
            <w:r>
              <w:rPr>
                <w:rFonts w:hint="eastAsia" w:eastAsia="方正仿宋_GBK"/>
                <w:color w:val="auto"/>
                <w:sz w:val="24"/>
                <w:highlight w:val="none"/>
                <w:lang w:val="en-US" w:eastAsia="zh-CN"/>
              </w:rPr>
              <w:t>15</w:t>
            </w:r>
            <w:r>
              <w:rPr>
                <w:rFonts w:hint="eastAsia" w:eastAsia="方正仿宋_GBK"/>
                <w:color w:val="auto"/>
                <w:sz w:val="24"/>
                <w:highlight w:val="none"/>
              </w:rPr>
              <w:t>分；</w:t>
            </w:r>
          </w:p>
          <w:p w14:paraId="4E5C8DE1">
            <w:pPr>
              <w:spacing w:line="0" w:lineRule="atLeast"/>
              <w:rPr>
                <w:rFonts w:hint="eastAsia" w:eastAsia="方正仿宋_GBK"/>
                <w:color w:val="auto"/>
                <w:sz w:val="24"/>
                <w:highlight w:val="none"/>
              </w:rPr>
            </w:pPr>
            <w:r>
              <w:rPr>
                <w:rFonts w:hint="eastAsia" w:eastAsia="方正仿宋_GBK"/>
                <w:color w:val="auto"/>
                <w:sz w:val="24"/>
                <w:highlight w:val="none"/>
              </w:rPr>
              <w:t>方案内容存在1处瑕疵得</w:t>
            </w:r>
            <w:r>
              <w:rPr>
                <w:rFonts w:hint="eastAsia" w:eastAsia="方正仿宋_GBK"/>
                <w:color w:val="auto"/>
                <w:sz w:val="24"/>
                <w:highlight w:val="none"/>
                <w:lang w:val="en-US" w:eastAsia="zh-CN"/>
              </w:rPr>
              <w:t>11</w:t>
            </w:r>
            <w:r>
              <w:rPr>
                <w:rFonts w:hint="eastAsia" w:eastAsia="方正仿宋_GBK"/>
                <w:color w:val="auto"/>
                <w:sz w:val="24"/>
                <w:highlight w:val="none"/>
              </w:rPr>
              <w:t>分；</w:t>
            </w:r>
          </w:p>
          <w:p w14:paraId="58C69F87">
            <w:pPr>
              <w:spacing w:line="0" w:lineRule="atLeast"/>
              <w:rPr>
                <w:rFonts w:hint="eastAsia" w:eastAsia="方正仿宋_GBK"/>
                <w:color w:val="auto"/>
                <w:sz w:val="24"/>
                <w:highlight w:val="none"/>
              </w:rPr>
            </w:pPr>
            <w:r>
              <w:rPr>
                <w:rFonts w:hint="eastAsia" w:eastAsia="方正仿宋_GBK"/>
                <w:color w:val="auto"/>
                <w:sz w:val="24"/>
                <w:highlight w:val="none"/>
              </w:rPr>
              <w:t>方案内容存在2处瑕疵得</w:t>
            </w:r>
            <w:r>
              <w:rPr>
                <w:rFonts w:hint="eastAsia" w:eastAsia="方正仿宋_GBK"/>
                <w:color w:val="auto"/>
                <w:sz w:val="24"/>
                <w:highlight w:val="none"/>
                <w:lang w:val="en-US" w:eastAsia="zh-CN"/>
              </w:rPr>
              <w:t>7</w:t>
            </w:r>
            <w:r>
              <w:rPr>
                <w:rFonts w:hint="eastAsia" w:eastAsia="方正仿宋_GBK"/>
                <w:color w:val="auto"/>
                <w:sz w:val="24"/>
                <w:highlight w:val="none"/>
              </w:rPr>
              <w:t>分；</w:t>
            </w:r>
          </w:p>
          <w:p w14:paraId="759D8065">
            <w:pPr>
              <w:spacing w:line="0" w:lineRule="atLeast"/>
              <w:rPr>
                <w:rFonts w:hint="eastAsia" w:eastAsia="方正仿宋_GBK"/>
                <w:color w:val="auto"/>
                <w:sz w:val="24"/>
                <w:highlight w:val="none"/>
              </w:rPr>
            </w:pPr>
            <w:r>
              <w:rPr>
                <w:rFonts w:hint="eastAsia" w:eastAsia="方正仿宋_GBK"/>
                <w:color w:val="auto"/>
                <w:sz w:val="24"/>
                <w:highlight w:val="none"/>
              </w:rPr>
              <w:t>方案内容存在3处瑕疵得</w:t>
            </w:r>
            <w:r>
              <w:rPr>
                <w:rFonts w:hint="eastAsia" w:eastAsia="方正仿宋_GBK"/>
                <w:color w:val="auto"/>
                <w:sz w:val="24"/>
                <w:highlight w:val="none"/>
                <w:lang w:val="en-US" w:eastAsia="zh-CN"/>
              </w:rPr>
              <w:t>3</w:t>
            </w:r>
            <w:r>
              <w:rPr>
                <w:rFonts w:hint="eastAsia" w:eastAsia="方正仿宋_GBK"/>
                <w:color w:val="auto"/>
                <w:sz w:val="24"/>
                <w:highlight w:val="none"/>
              </w:rPr>
              <w:t>分；</w:t>
            </w:r>
          </w:p>
          <w:p w14:paraId="244C71EF">
            <w:pPr>
              <w:spacing w:line="0" w:lineRule="atLeast"/>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方案内容存在4处及以上瑕疵的或未提供不得分。</w:t>
            </w:r>
          </w:p>
        </w:tc>
        <w:tc>
          <w:tcPr>
            <w:tcW w:w="2312" w:type="dxa"/>
            <w:vMerge w:val="continue"/>
            <w:noWrap w:val="0"/>
            <w:vAlign w:val="center"/>
          </w:tcPr>
          <w:p w14:paraId="738F6EC0">
            <w:pPr>
              <w:spacing w:line="0" w:lineRule="atLeast"/>
              <w:rPr>
                <w:rFonts w:hint="eastAsia" w:ascii="方正仿宋_GBK" w:hAnsi="方正仿宋_GBK" w:eastAsia="方正仿宋_GBK" w:cs="方正仿宋_GBK"/>
                <w:color w:val="auto"/>
                <w:sz w:val="21"/>
                <w:szCs w:val="21"/>
                <w:highlight w:val="none"/>
              </w:rPr>
            </w:pPr>
          </w:p>
        </w:tc>
      </w:tr>
      <w:tr w14:paraId="7B5EB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noWrap w:val="0"/>
            <w:vAlign w:val="center"/>
          </w:tcPr>
          <w:p w14:paraId="7BE6FB61">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85" w:type="dxa"/>
            <w:vMerge w:val="continue"/>
            <w:noWrap w:val="0"/>
            <w:vAlign w:val="center"/>
          </w:tcPr>
          <w:p w14:paraId="512F8358">
            <w:pPr>
              <w:spacing w:line="0" w:lineRule="atLeast"/>
              <w:ind w:firstLine="28" w:firstLineChars="0"/>
              <w:jc w:val="center"/>
              <w:rPr>
                <w:rFonts w:hint="eastAsia" w:ascii="方正仿宋_GBK" w:hAnsi="方正仿宋_GBK" w:eastAsia="方正仿宋_GBK" w:cs="方正仿宋_GBK"/>
                <w:color w:val="auto"/>
                <w:sz w:val="21"/>
                <w:szCs w:val="21"/>
                <w:highlight w:val="none"/>
              </w:rPr>
            </w:pPr>
          </w:p>
        </w:tc>
        <w:tc>
          <w:tcPr>
            <w:tcW w:w="1375" w:type="dxa"/>
            <w:noWrap w:val="0"/>
            <w:vAlign w:val="center"/>
          </w:tcPr>
          <w:p w14:paraId="1714A1C5">
            <w:pPr>
              <w:spacing w:line="0" w:lineRule="atLeast"/>
              <w:jc w:val="center"/>
              <w:rPr>
                <w:rFonts w:hint="eastAsia" w:eastAsia="方正仿宋_GBK"/>
                <w:color w:val="auto"/>
                <w:sz w:val="24"/>
                <w:highlight w:val="none"/>
                <w:lang w:val="en-US" w:eastAsia="zh-CN"/>
              </w:rPr>
            </w:pPr>
            <w:r>
              <w:rPr>
                <w:rFonts w:hint="eastAsia" w:cs="Times New Roman"/>
                <w:color w:val="auto"/>
                <w:sz w:val="24"/>
                <w:highlight w:val="none"/>
                <w:lang w:val="en-US" w:eastAsia="zh-CN"/>
              </w:rPr>
              <w:t>5</w:t>
            </w:r>
            <w:r>
              <w:rPr>
                <w:rFonts w:hint="eastAsia" w:ascii="Times New Roman" w:hAnsi="Times New Roman" w:cs="Times New Roman"/>
                <w:color w:val="auto"/>
                <w:sz w:val="24"/>
                <w:highlight w:val="none"/>
                <w:lang w:val="en-US" w:eastAsia="zh-CN"/>
              </w:rPr>
              <w:t>分</w:t>
            </w:r>
          </w:p>
        </w:tc>
        <w:tc>
          <w:tcPr>
            <w:tcW w:w="4584" w:type="dxa"/>
            <w:noWrap w:val="0"/>
            <w:vAlign w:val="center"/>
          </w:tcPr>
          <w:p w14:paraId="5BA63953">
            <w:pPr>
              <w:spacing w:line="0" w:lineRule="atLeas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增值服务（5分）</w:t>
            </w:r>
          </w:p>
          <w:p w14:paraId="2AABEF23">
            <w:pPr>
              <w:spacing w:line="0" w:lineRule="atLeas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供应商针对自身服务优势编制《增值服务实施方案》。方案核心内容包括但不限于：数据运营服务、宣传推广资源、商户培训服务、本地化运营支撑、工会专属增值功能、活动配套服务等</w:t>
            </w:r>
          </w:p>
          <w:p w14:paraId="583B8802">
            <w:pPr>
              <w:spacing w:line="0" w:lineRule="atLeast"/>
              <w:rPr>
                <w:rFonts w:hint="eastAsia" w:eastAsia="方正仿宋_GBK"/>
                <w:color w:val="auto"/>
                <w:sz w:val="24"/>
                <w:highlight w:val="none"/>
              </w:rPr>
            </w:pPr>
            <w:r>
              <w:rPr>
                <w:rFonts w:hint="eastAsia" w:eastAsia="方正仿宋_GBK"/>
                <w:color w:val="auto"/>
                <w:sz w:val="24"/>
                <w:highlight w:val="none"/>
              </w:rPr>
              <w:t>方案内容不存在瑕疵得</w:t>
            </w:r>
            <w:r>
              <w:rPr>
                <w:rFonts w:hint="eastAsia" w:eastAsia="方正仿宋_GBK"/>
                <w:color w:val="auto"/>
                <w:sz w:val="24"/>
                <w:highlight w:val="none"/>
                <w:lang w:val="en-US" w:eastAsia="zh-CN"/>
              </w:rPr>
              <w:t>5</w:t>
            </w:r>
            <w:r>
              <w:rPr>
                <w:rFonts w:hint="eastAsia" w:eastAsia="方正仿宋_GBK"/>
                <w:color w:val="auto"/>
                <w:sz w:val="24"/>
                <w:highlight w:val="none"/>
              </w:rPr>
              <w:t>分；</w:t>
            </w:r>
          </w:p>
          <w:p w14:paraId="73BB376A">
            <w:pPr>
              <w:spacing w:line="0" w:lineRule="atLeast"/>
              <w:rPr>
                <w:rFonts w:hint="eastAsia" w:eastAsia="方正仿宋_GBK"/>
                <w:color w:val="auto"/>
                <w:sz w:val="24"/>
                <w:highlight w:val="none"/>
              </w:rPr>
            </w:pPr>
            <w:r>
              <w:rPr>
                <w:rFonts w:hint="eastAsia" w:eastAsia="方正仿宋_GBK"/>
                <w:color w:val="auto"/>
                <w:sz w:val="24"/>
                <w:highlight w:val="none"/>
              </w:rPr>
              <w:t>方案内容存在1处瑕疵得</w:t>
            </w:r>
            <w:r>
              <w:rPr>
                <w:rFonts w:hint="eastAsia" w:eastAsia="方正仿宋_GBK"/>
                <w:color w:val="auto"/>
                <w:sz w:val="24"/>
                <w:highlight w:val="none"/>
                <w:lang w:val="en-US" w:eastAsia="zh-CN"/>
              </w:rPr>
              <w:t>4</w:t>
            </w:r>
            <w:r>
              <w:rPr>
                <w:rFonts w:hint="eastAsia" w:eastAsia="方正仿宋_GBK"/>
                <w:color w:val="auto"/>
                <w:sz w:val="24"/>
                <w:highlight w:val="none"/>
              </w:rPr>
              <w:t>分；</w:t>
            </w:r>
          </w:p>
          <w:p w14:paraId="54DB36FF">
            <w:pPr>
              <w:spacing w:line="0" w:lineRule="atLeast"/>
              <w:rPr>
                <w:rFonts w:hint="eastAsia" w:eastAsia="方正仿宋_GBK"/>
                <w:color w:val="auto"/>
                <w:sz w:val="24"/>
                <w:highlight w:val="none"/>
              </w:rPr>
            </w:pPr>
            <w:r>
              <w:rPr>
                <w:rFonts w:hint="eastAsia" w:eastAsia="方正仿宋_GBK"/>
                <w:color w:val="auto"/>
                <w:sz w:val="24"/>
                <w:highlight w:val="none"/>
              </w:rPr>
              <w:t>方案内容存在2处瑕疵得</w:t>
            </w:r>
            <w:r>
              <w:rPr>
                <w:rFonts w:hint="eastAsia" w:eastAsia="方正仿宋_GBK"/>
                <w:color w:val="auto"/>
                <w:sz w:val="24"/>
                <w:highlight w:val="none"/>
                <w:lang w:val="en-US" w:eastAsia="zh-CN"/>
              </w:rPr>
              <w:t>3</w:t>
            </w:r>
            <w:r>
              <w:rPr>
                <w:rFonts w:hint="eastAsia" w:eastAsia="方正仿宋_GBK"/>
                <w:color w:val="auto"/>
                <w:sz w:val="24"/>
                <w:highlight w:val="none"/>
              </w:rPr>
              <w:t>分；</w:t>
            </w:r>
          </w:p>
          <w:p w14:paraId="0ADCA452">
            <w:pPr>
              <w:spacing w:line="0" w:lineRule="atLeast"/>
              <w:rPr>
                <w:rFonts w:hint="eastAsia" w:eastAsia="方正仿宋_GBK"/>
                <w:color w:val="auto"/>
                <w:sz w:val="24"/>
                <w:highlight w:val="none"/>
              </w:rPr>
            </w:pPr>
            <w:r>
              <w:rPr>
                <w:rFonts w:hint="eastAsia" w:eastAsia="方正仿宋_GBK"/>
                <w:color w:val="auto"/>
                <w:sz w:val="24"/>
                <w:highlight w:val="none"/>
              </w:rPr>
              <w:t>方案内容存在3处瑕疵得</w:t>
            </w:r>
            <w:r>
              <w:rPr>
                <w:rFonts w:hint="eastAsia" w:eastAsia="方正仿宋_GBK"/>
                <w:color w:val="auto"/>
                <w:sz w:val="24"/>
                <w:highlight w:val="none"/>
                <w:lang w:val="en-US" w:eastAsia="zh-CN"/>
              </w:rPr>
              <w:t>2</w:t>
            </w:r>
            <w:r>
              <w:rPr>
                <w:rFonts w:hint="eastAsia" w:eastAsia="方正仿宋_GBK"/>
                <w:color w:val="auto"/>
                <w:sz w:val="24"/>
                <w:highlight w:val="none"/>
              </w:rPr>
              <w:t>分；</w:t>
            </w:r>
          </w:p>
          <w:p w14:paraId="4BE90A93">
            <w:pPr>
              <w:spacing w:line="0" w:lineRule="atLeast"/>
              <w:rPr>
                <w:rFonts w:hint="eastAsia" w:ascii="方正仿宋_GBK" w:hAnsi="方正仿宋_GBK" w:eastAsia="方正仿宋_GBK" w:cs="方正仿宋_GBK"/>
                <w:color w:val="auto"/>
                <w:sz w:val="21"/>
                <w:szCs w:val="21"/>
                <w:highlight w:val="none"/>
              </w:rPr>
            </w:pPr>
            <w:r>
              <w:rPr>
                <w:rFonts w:hint="eastAsia" w:eastAsia="方正仿宋_GBK"/>
                <w:color w:val="auto"/>
                <w:sz w:val="24"/>
                <w:highlight w:val="none"/>
              </w:rPr>
              <w:t>方案内容存在4处及以上瑕疵的或未提供不得分。</w:t>
            </w:r>
          </w:p>
        </w:tc>
        <w:tc>
          <w:tcPr>
            <w:tcW w:w="2312" w:type="dxa"/>
            <w:vMerge w:val="continue"/>
            <w:noWrap w:val="0"/>
            <w:vAlign w:val="center"/>
          </w:tcPr>
          <w:p w14:paraId="1DB23C3F">
            <w:pPr>
              <w:spacing w:line="0" w:lineRule="atLeast"/>
              <w:rPr>
                <w:rFonts w:hint="eastAsia" w:ascii="方正仿宋_GBK" w:hAnsi="方正仿宋_GBK" w:eastAsia="方正仿宋_GBK" w:cs="方正仿宋_GBK"/>
                <w:color w:val="auto"/>
                <w:sz w:val="21"/>
                <w:szCs w:val="21"/>
                <w:highlight w:val="none"/>
              </w:rPr>
            </w:pPr>
          </w:p>
        </w:tc>
      </w:tr>
      <w:tr w14:paraId="13969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0" w:type="dxa"/>
            <w:noWrap w:val="0"/>
            <w:vAlign w:val="center"/>
          </w:tcPr>
          <w:p w14:paraId="596DF809">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3</w:t>
            </w:r>
          </w:p>
        </w:tc>
        <w:tc>
          <w:tcPr>
            <w:tcW w:w="1385" w:type="dxa"/>
            <w:noWrap w:val="0"/>
            <w:vAlign w:val="center"/>
          </w:tcPr>
          <w:p w14:paraId="7B9A451D">
            <w:pPr>
              <w:spacing w:line="0" w:lineRule="atLeast"/>
              <w:ind w:firstLine="28"/>
              <w:jc w:val="center"/>
              <w:rPr>
                <w:rFonts w:eastAsia="方正仿宋_GBK"/>
                <w:color w:val="auto"/>
                <w:sz w:val="24"/>
                <w:highlight w:val="none"/>
              </w:rPr>
            </w:pPr>
            <w:r>
              <w:rPr>
                <w:rFonts w:eastAsia="方正仿宋_GBK"/>
                <w:color w:val="auto"/>
                <w:sz w:val="24"/>
                <w:highlight w:val="none"/>
              </w:rPr>
              <w:t>商务部分</w:t>
            </w:r>
          </w:p>
          <w:p w14:paraId="3AD60CBD">
            <w:pPr>
              <w:spacing w:line="0" w:lineRule="atLeast"/>
              <w:ind w:firstLine="28" w:firstLineChars="0"/>
              <w:jc w:val="center"/>
              <w:rPr>
                <w:rFonts w:hint="eastAsia" w:ascii="方正仿宋_GBK" w:hAnsi="方正仿宋_GBK" w:eastAsia="方正仿宋_GBK" w:cs="方正仿宋_GBK"/>
                <w:color w:val="auto"/>
                <w:sz w:val="21"/>
                <w:szCs w:val="21"/>
                <w:highlight w:val="none"/>
              </w:rPr>
            </w:pPr>
            <w:r>
              <w:rPr>
                <w:rFonts w:eastAsia="方正仿宋_GBK"/>
                <w:color w:val="auto"/>
                <w:sz w:val="24"/>
                <w:highlight w:val="none"/>
              </w:rPr>
              <w:t>（</w:t>
            </w:r>
            <w:r>
              <w:rPr>
                <w:rFonts w:hint="eastAsia" w:eastAsia="方正仿宋_GBK"/>
                <w:color w:val="auto"/>
                <w:sz w:val="24"/>
                <w:highlight w:val="none"/>
                <w:lang w:val="en-US" w:eastAsia="zh-CN"/>
              </w:rPr>
              <w:t>40</w:t>
            </w:r>
            <w:r>
              <w:rPr>
                <w:rFonts w:eastAsia="方正仿宋_GBK"/>
                <w:color w:val="auto"/>
                <w:sz w:val="24"/>
                <w:highlight w:val="none"/>
              </w:rPr>
              <w:t>%）</w:t>
            </w:r>
          </w:p>
        </w:tc>
        <w:tc>
          <w:tcPr>
            <w:tcW w:w="1375" w:type="dxa"/>
            <w:noWrap w:val="0"/>
            <w:vAlign w:val="center"/>
          </w:tcPr>
          <w:p w14:paraId="211F36E7">
            <w:pPr>
              <w:spacing w:line="0" w:lineRule="atLeast"/>
              <w:jc w:val="center"/>
              <w:rPr>
                <w:rFonts w:hint="eastAsia" w:ascii="方正仿宋_GBK" w:hAnsi="方正仿宋_GBK" w:eastAsia="方正仿宋_GBK" w:cs="方正仿宋_GBK"/>
                <w:color w:val="auto"/>
                <w:sz w:val="21"/>
                <w:szCs w:val="21"/>
                <w:highlight w:val="none"/>
              </w:rPr>
            </w:pPr>
            <w:r>
              <w:rPr>
                <w:rFonts w:hint="eastAsia" w:cs="Times New Roman"/>
                <w:color w:val="auto"/>
                <w:sz w:val="24"/>
                <w:highlight w:val="none"/>
                <w:lang w:val="en-US" w:eastAsia="zh-CN"/>
              </w:rPr>
              <w:t>4</w:t>
            </w:r>
            <w:r>
              <w:rPr>
                <w:rFonts w:hint="eastAsia" w:ascii="Times New Roman" w:hAnsi="Times New Roman" w:cs="Times New Roman"/>
                <w:color w:val="auto"/>
                <w:sz w:val="24"/>
                <w:highlight w:val="none"/>
                <w:lang w:val="en-US" w:eastAsia="zh-CN"/>
              </w:rPr>
              <w:t>0</w:t>
            </w:r>
            <w:r>
              <w:rPr>
                <w:rFonts w:ascii="Times New Roman" w:hAnsi="Times New Roman" w:eastAsia="方正仿宋_GBK" w:cs="Times New Roman"/>
                <w:color w:val="auto"/>
                <w:sz w:val="24"/>
                <w:highlight w:val="none"/>
              </w:rPr>
              <w:t>分</w:t>
            </w:r>
          </w:p>
        </w:tc>
        <w:tc>
          <w:tcPr>
            <w:tcW w:w="4584" w:type="dxa"/>
            <w:noWrap w:val="0"/>
            <w:vAlign w:val="center"/>
          </w:tcPr>
          <w:p w14:paraId="6939480A">
            <w:pPr>
              <w:spacing w:line="0" w:lineRule="atLeast"/>
              <w:rPr>
                <w:rFonts w:ascii="Times New Roman" w:hAnsi="Times New Roman" w:eastAsia="方正仿宋_GBK" w:cs="Times New Roman"/>
                <w:b/>
                <w:bCs/>
                <w:color w:val="auto"/>
                <w:sz w:val="24"/>
                <w:highlight w:val="none"/>
              </w:rPr>
            </w:pPr>
            <w:r>
              <w:rPr>
                <w:rFonts w:hint="eastAsia" w:ascii="Times New Roman" w:hAnsi="Times New Roman" w:eastAsia="方正仿宋_GBK" w:cs="Times New Roman"/>
                <w:b/>
                <w:bCs/>
                <w:color w:val="auto"/>
                <w:sz w:val="24"/>
                <w:highlight w:val="none"/>
                <w:lang w:eastAsia="zh-CN"/>
              </w:rPr>
              <w:t>业绩</w:t>
            </w:r>
            <w:r>
              <w:rPr>
                <w:rFonts w:ascii="Times New Roman" w:hAnsi="Times New Roman" w:eastAsia="方正仿宋_GBK" w:cs="Times New Roman"/>
                <w:b/>
                <w:bCs/>
                <w:color w:val="auto"/>
                <w:sz w:val="24"/>
                <w:highlight w:val="none"/>
              </w:rPr>
              <w:t>（</w:t>
            </w:r>
            <w:r>
              <w:rPr>
                <w:rFonts w:hint="eastAsia" w:cs="Times New Roman"/>
                <w:b/>
                <w:bCs/>
                <w:color w:val="auto"/>
                <w:sz w:val="24"/>
                <w:highlight w:val="none"/>
                <w:lang w:val="en-US" w:eastAsia="zh-CN"/>
              </w:rPr>
              <w:t>4</w:t>
            </w:r>
            <w:r>
              <w:rPr>
                <w:rFonts w:hint="eastAsia" w:ascii="Times New Roman" w:hAnsi="Times New Roman" w:cs="Times New Roman"/>
                <w:b/>
                <w:bCs/>
                <w:color w:val="auto"/>
                <w:sz w:val="24"/>
                <w:highlight w:val="none"/>
                <w:lang w:val="en-US" w:eastAsia="zh-CN"/>
              </w:rPr>
              <w:t>0</w:t>
            </w:r>
            <w:r>
              <w:rPr>
                <w:rFonts w:ascii="Times New Roman" w:hAnsi="Times New Roman" w:eastAsia="方正仿宋_GBK" w:cs="Times New Roman"/>
                <w:b/>
                <w:bCs/>
                <w:color w:val="auto"/>
                <w:sz w:val="24"/>
                <w:highlight w:val="none"/>
              </w:rPr>
              <w:t>分）</w:t>
            </w:r>
          </w:p>
          <w:p w14:paraId="2C747BB6">
            <w:pPr>
              <w:spacing w:line="0" w:lineRule="atLeast"/>
              <w:rPr>
                <w:rFonts w:hint="eastAsia" w:ascii="方正仿宋_GBK" w:hAnsi="方正仿宋_GBK" w:eastAsia="方正仿宋_GBK" w:cs="方正仿宋_GBK"/>
                <w:color w:val="auto"/>
                <w:sz w:val="21"/>
                <w:szCs w:val="21"/>
                <w:highlight w:val="none"/>
              </w:rPr>
            </w:pPr>
            <w:r>
              <w:rPr>
                <w:rFonts w:hint="eastAsia" w:ascii="Times New Roman" w:hAnsi="Times New Roman" w:eastAsia="方正仿宋_GBK" w:cs="Times New Roman"/>
                <w:color w:val="auto"/>
                <w:sz w:val="24"/>
                <w:highlight w:val="none"/>
              </w:rPr>
              <w:t>202</w:t>
            </w:r>
            <w:r>
              <w:rPr>
                <w:rFonts w:hint="eastAsia" w:ascii="Times New Roman" w:hAnsi="Times New Roman" w:eastAsia="方正仿宋_GBK" w:cs="Times New Roman"/>
                <w:color w:val="auto"/>
                <w:sz w:val="24"/>
                <w:highlight w:val="none"/>
                <w:lang w:val="en-US" w:eastAsia="zh-CN"/>
              </w:rPr>
              <w:t>5</w:t>
            </w:r>
            <w:r>
              <w:rPr>
                <w:rFonts w:hint="eastAsia" w:ascii="Times New Roman" w:hAnsi="Times New Roman" w:eastAsia="方正仿宋_GBK" w:cs="Times New Roman"/>
                <w:color w:val="auto"/>
                <w:sz w:val="24"/>
                <w:highlight w:val="none"/>
              </w:rPr>
              <w:t>年1月1日（以合同签订时间为准）至今，供应商具有</w:t>
            </w:r>
            <w:r>
              <w:rPr>
                <w:rFonts w:hint="eastAsia" w:eastAsia="方正仿宋_GBK" w:cs="Times New Roman"/>
                <w:color w:val="auto"/>
                <w:sz w:val="24"/>
                <w:highlight w:val="none"/>
                <w:lang w:eastAsia="zh-CN"/>
              </w:rPr>
              <w:t>省级或直辖市级</w:t>
            </w:r>
            <w:r>
              <w:rPr>
                <w:rFonts w:hint="eastAsia" w:ascii="Times New Roman" w:hAnsi="Times New Roman" w:eastAsia="方正仿宋_GBK" w:cs="Times New Roman"/>
                <w:color w:val="auto"/>
                <w:sz w:val="24"/>
                <w:highlight w:val="none"/>
              </w:rPr>
              <w:t>类似项目的，每个业绩得5分，最多得</w:t>
            </w:r>
            <w:r>
              <w:rPr>
                <w:rFonts w:hint="eastAsia" w:eastAsia="方正仿宋_GBK" w:cs="Times New Roman"/>
                <w:color w:val="auto"/>
                <w:sz w:val="24"/>
                <w:highlight w:val="none"/>
                <w:lang w:val="en-US" w:eastAsia="zh-CN"/>
              </w:rPr>
              <w:t>4</w:t>
            </w:r>
            <w:r>
              <w:rPr>
                <w:rFonts w:hint="eastAsia" w:ascii="Times New Roman" w:hAnsi="Times New Roman" w:eastAsia="方正仿宋_GBK" w:cs="Times New Roman"/>
                <w:color w:val="auto"/>
                <w:sz w:val="24"/>
                <w:highlight w:val="none"/>
              </w:rPr>
              <w:t>0分。</w:t>
            </w:r>
          </w:p>
        </w:tc>
        <w:tc>
          <w:tcPr>
            <w:tcW w:w="2312" w:type="dxa"/>
            <w:noWrap w:val="0"/>
            <w:vAlign w:val="center"/>
          </w:tcPr>
          <w:p w14:paraId="53FE0D11">
            <w:pPr>
              <w:spacing w:line="0" w:lineRule="atLeast"/>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提供合同关键页【包含：首页、能体现服务内容（或类型）的合同页、签章页】复印件并加盖供应商公章</w:t>
            </w:r>
          </w:p>
        </w:tc>
      </w:tr>
    </w:tbl>
    <w:p w14:paraId="736032EB">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96" w:name="_Toc17530"/>
      <w:r>
        <w:rPr>
          <w:rFonts w:hint="eastAsia" w:ascii="方正仿宋_GBK" w:hAnsi="宋体" w:eastAsia="方正仿宋_GBK"/>
          <w:color w:val="auto"/>
          <w:sz w:val="24"/>
          <w:highlight w:val="none"/>
        </w:rPr>
        <w:t>说明：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报价处理。</w:t>
      </w:r>
    </w:p>
    <w:p w14:paraId="662F62EC">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三、无效响应</w:t>
      </w:r>
      <w:bookmarkEnd w:id="92"/>
      <w:bookmarkEnd w:id="93"/>
      <w:bookmarkEnd w:id="96"/>
    </w:p>
    <w:p w14:paraId="48C0BCB7">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供应商发生以下条款情况之一者，视为无效响应，其响应文件将被拒绝：</w:t>
      </w:r>
    </w:p>
    <w:p w14:paraId="25B000A9">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（一）供应商不符合规定的资格条件的；</w:t>
      </w:r>
    </w:p>
    <w:p w14:paraId="6B88E121">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（二）供应商的法定代表人（或其授权代表）或自然人未参加磋商；</w:t>
      </w:r>
    </w:p>
    <w:p w14:paraId="1D91F934">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（三）供应商所提交的响应文件不按“第七篇响应文件编制要求”要求签署或盖章；</w:t>
      </w:r>
    </w:p>
    <w:p w14:paraId="42957749">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（四）供应商的最后报价超过采购预算或最高限价的；</w:t>
      </w:r>
    </w:p>
    <w:p w14:paraId="041148C7">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（五）法定代表人为同一个人的两个及两个以上法人，母公司、全资子公司及其控股公司，在同一包采购中同时参与磋商；</w:t>
      </w:r>
    </w:p>
    <w:p w14:paraId="1C3A8A29">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（六）单位负责人为同一人或者存在直接控股、管理关系的不同供应商，参加同一合同项下的政府采购活动的；</w:t>
      </w:r>
    </w:p>
    <w:p w14:paraId="5CC3C11A">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w:t>
      </w:r>
      <w:r>
        <w:rPr>
          <w:rFonts w:ascii="方正仿宋_GBK" w:hAnsi="宋体" w:eastAsia="方正仿宋_GBK"/>
          <w:color w:val="auto"/>
          <w:sz w:val="24"/>
          <w:szCs w:val="24"/>
          <w:highlight w:val="none"/>
        </w:rPr>
        <w:t>为采购项目提供整体设计、规范编制或者项目管理、监理、检测等服务的供应商，再参加</w:t>
      </w:r>
      <w:r>
        <w:rPr>
          <w:rFonts w:hint="eastAsia" w:ascii="方正仿宋_GBK" w:hAnsi="宋体" w:eastAsia="方正仿宋_GBK"/>
          <w:color w:val="auto"/>
          <w:sz w:val="24"/>
          <w:szCs w:val="24"/>
          <w:highlight w:val="none"/>
        </w:rPr>
        <w:t>该采购</w:t>
      </w:r>
      <w:r>
        <w:rPr>
          <w:rFonts w:ascii="方正仿宋_GBK" w:hAnsi="宋体" w:eastAsia="方正仿宋_GBK"/>
          <w:color w:val="auto"/>
          <w:sz w:val="24"/>
          <w:szCs w:val="24"/>
          <w:highlight w:val="none"/>
        </w:rPr>
        <w:t>项目的</w:t>
      </w:r>
      <w:r>
        <w:rPr>
          <w:rFonts w:hint="eastAsia" w:ascii="方正仿宋_GBK" w:hAnsi="宋体" w:eastAsia="方正仿宋_GBK"/>
          <w:color w:val="auto"/>
          <w:sz w:val="24"/>
          <w:szCs w:val="24"/>
          <w:highlight w:val="none"/>
        </w:rPr>
        <w:t>其他</w:t>
      </w:r>
      <w:r>
        <w:rPr>
          <w:rFonts w:ascii="方正仿宋_GBK" w:hAnsi="宋体" w:eastAsia="方正仿宋_GBK"/>
          <w:color w:val="auto"/>
          <w:sz w:val="24"/>
          <w:szCs w:val="24"/>
          <w:highlight w:val="none"/>
        </w:rPr>
        <w:t>采购活动</w:t>
      </w:r>
      <w:r>
        <w:rPr>
          <w:rFonts w:hint="eastAsia" w:ascii="方正仿宋_GBK" w:hAnsi="宋体" w:eastAsia="方正仿宋_GBK"/>
          <w:color w:val="auto"/>
          <w:sz w:val="24"/>
          <w:szCs w:val="24"/>
          <w:highlight w:val="none"/>
        </w:rPr>
        <w:t>；</w:t>
      </w:r>
    </w:p>
    <w:p w14:paraId="1EA7306A">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（八）供应商磋商有效期不满足竞争性磋商文件要求的；</w:t>
      </w:r>
    </w:p>
    <w:p w14:paraId="64D5B812">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（九）供应商响应文件内容有与国家现行法律法规相违背的内容，或附有采购人无法接受的条件；</w:t>
      </w:r>
    </w:p>
    <w:p w14:paraId="52DDAB2D">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（十）法律、法规和竞争性磋商文件规定的其他无效情形。</w:t>
      </w:r>
    </w:p>
    <w:p w14:paraId="4CC31F72">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97" w:name="_Toc16084"/>
      <w:bookmarkStart w:id="98" w:name="_Toc106030891"/>
      <w:bookmarkStart w:id="99" w:name="_Toc76462336"/>
      <w:r>
        <w:rPr>
          <w:rFonts w:hint="eastAsia" w:ascii="方正仿宋_GBK" w:hAnsi="宋体" w:eastAsia="方正仿宋_GBK"/>
          <w:color w:val="auto"/>
          <w:sz w:val="24"/>
          <w:highlight w:val="none"/>
        </w:rPr>
        <w:t>四、</w:t>
      </w:r>
      <w:bookmarkEnd w:id="94"/>
      <w:bookmarkEnd w:id="95"/>
      <w:r>
        <w:rPr>
          <w:rFonts w:hint="eastAsia" w:ascii="方正仿宋_GBK" w:hAnsi="宋体" w:eastAsia="方正仿宋_GBK"/>
          <w:color w:val="auto"/>
          <w:sz w:val="24"/>
          <w:highlight w:val="none"/>
        </w:rPr>
        <w:t>采购终止</w:t>
      </w:r>
      <w:bookmarkEnd w:id="97"/>
      <w:bookmarkEnd w:id="98"/>
      <w:bookmarkEnd w:id="99"/>
    </w:p>
    <w:p w14:paraId="26673634">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出现下列情形之一的，采购人或者采购代理机构应当终止竞争性磋商采购活动，发布项目终止公告并说明原因，重新开展采购活动：</w:t>
      </w:r>
    </w:p>
    <w:p w14:paraId="67FD8F57">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（一）因情况变化，不再符合规定的竞争性磋商</w:t>
      </w:r>
      <w:r>
        <w:rPr>
          <w:rFonts w:hint="eastAsia" w:ascii="方正仿宋_GBK" w:hAnsi="宋体" w:eastAsia="方正仿宋_GBK"/>
          <w:color w:val="auto"/>
          <w:sz w:val="24"/>
          <w:szCs w:val="24"/>
          <w:highlight w:val="none"/>
          <w:lang w:eastAsia="zh-CN"/>
        </w:rPr>
        <w:t>采购人</w:t>
      </w:r>
      <w:r>
        <w:rPr>
          <w:rFonts w:hint="eastAsia" w:ascii="方正仿宋_GBK" w:hAnsi="宋体" w:eastAsia="方正仿宋_GBK"/>
          <w:color w:val="auto"/>
          <w:sz w:val="24"/>
          <w:szCs w:val="24"/>
          <w:highlight w:val="none"/>
        </w:rPr>
        <w:t>式适用情形的；</w:t>
      </w:r>
    </w:p>
    <w:p w14:paraId="527DA911">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（二）出现影响采购公正的违法、违规行为的；</w:t>
      </w:r>
    </w:p>
    <w:p w14:paraId="4AA890DF">
      <w:pPr>
        <w:snapToGrid w:val="0"/>
        <w:spacing w:line="400" w:lineRule="exact"/>
        <w:ind w:firstLine="465"/>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（三）在采购过程中符合要求的供应商或者报价未超过采购预算的供应商不足3家的，但《政府采购竞争性磋商</w:t>
      </w:r>
      <w:r>
        <w:rPr>
          <w:rFonts w:hint="eastAsia" w:ascii="方正仿宋_GBK" w:hAnsi="宋体" w:eastAsia="方正仿宋_GBK"/>
          <w:color w:val="auto"/>
          <w:sz w:val="24"/>
          <w:szCs w:val="24"/>
          <w:highlight w:val="none"/>
          <w:lang w:eastAsia="zh-CN"/>
        </w:rPr>
        <w:t>采购人</w:t>
      </w:r>
      <w:r>
        <w:rPr>
          <w:rFonts w:hint="eastAsia" w:ascii="方正仿宋_GBK" w:hAnsi="宋体" w:eastAsia="方正仿宋_GBK"/>
          <w:color w:val="auto"/>
          <w:sz w:val="24"/>
          <w:szCs w:val="24"/>
          <w:highlight w:val="none"/>
        </w:rPr>
        <w:t>式管理暂行办法》第二十一条第三款规定的情形除外。</w:t>
      </w:r>
    </w:p>
    <w:p w14:paraId="70986B83">
      <w:pPr>
        <w:spacing w:line="400" w:lineRule="exact"/>
        <w:ind w:firstLine="480" w:firstLineChars="200"/>
        <w:rPr>
          <w:rFonts w:ascii="宋体" w:hAnsi="宋体"/>
          <w:color w:val="auto"/>
          <w:sz w:val="24"/>
          <w:szCs w:val="24"/>
          <w:highlight w:val="none"/>
        </w:rPr>
        <w:sectPr>
          <w:pgSz w:w="11907" w:h="16840"/>
          <w:pgMar w:top="1134" w:right="1191" w:bottom="1134" w:left="1304" w:header="964" w:footer="992" w:gutter="0"/>
          <w:pgNumType w:fmt="numberInDash"/>
          <w:cols w:space="720" w:num="1"/>
          <w:docGrid w:linePitch="312" w:charSpace="0"/>
        </w:sectPr>
      </w:pPr>
    </w:p>
    <w:p w14:paraId="67CC148F">
      <w:pPr>
        <w:pStyle w:val="3"/>
        <w:pageBreakBefore/>
        <w:spacing w:before="0" w:after="0" w:line="360" w:lineRule="auto"/>
        <w:jc w:val="center"/>
        <w:rPr>
          <w:rFonts w:hint="eastAsia" w:ascii="方正小标宋_GBK" w:hAnsi="宋体" w:eastAsia="方正小标宋_GBK"/>
          <w:b w:val="0"/>
          <w:bCs/>
          <w:color w:val="auto"/>
          <w:sz w:val="36"/>
          <w:szCs w:val="30"/>
          <w:highlight w:val="none"/>
        </w:rPr>
      </w:pPr>
      <w:bookmarkStart w:id="100" w:name="_Toc102227313"/>
      <w:bookmarkStart w:id="101" w:name="_Toc3033"/>
      <w:bookmarkStart w:id="102" w:name="_Toc106030892"/>
      <w:bookmarkStart w:id="103" w:name="_Toc76462337"/>
      <w:r>
        <w:rPr>
          <w:rFonts w:hint="eastAsia" w:ascii="方正小标宋_GBK" w:hAnsi="宋体" w:eastAsia="方正小标宋_GBK"/>
          <w:b w:val="0"/>
          <w:bCs/>
          <w:color w:val="auto"/>
          <w:sz w:val="36"/>
          <w:szCs w:val="30"/>
          <w:highlight w:val="none"/>
        </w:rPr>
        <w:t>第五篇  供应商须知</w:t>
      </w:r>
      <w:bookmarkEnd w:id="100"/>
      <w:bookmarkEnd w:id="101"/>
      <w:bookmarkEnd w:id="102"/>
      <w:bookmarkEnd w:id="103"/>
    </w:p>
    <w:p w14:paraId="3E8BAFC1">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04" w:name="_Toc25214"/>
      <w:bookmarkStart w:id="105" w:name="_Toc106030893"/>
      <w:bookmarkStart w:id="106" w:name="_Toc342913389"/>
      <w:bookmarkStart w:id="107" w:name="_Toc76462338"/>
      <w:r>
        <w:rPr>
          <w:rFonts w:hint="eastAsia" w:ascii="方正仿宋_GBK" w:hAnsi="宋体" w:eastAsia="方正仿宋_GBK"/>
          <w:color w:val="auto"/>
          <w:sz w:val="24"/>
          <w:highlight w:val="none"/>
        </w:rPr>
        <w:t>一、磋商费用</w:t>
      </w:r>
      <w:bookmarkEnd w:id="104"/>
      <w:bookmarkEnd w:id="105"/>
      <w:bookmarkEnd w:id="106"/>
      <w:bookmarkEnd w:id="107"/>
    </w:p>
    <w:p w14:paraId="3FF8E2DA">
      <w:pPr>
        <w:pStyle w:val="143"/>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参与</w:t>
      </w:r>
      <w:r>
        <w:rPr>
          <w:rFonts w:hint="eastAsia" w:ascii="方正仿宋_GBK" w:eastAsia="方正仿宋_GBK"/>
          <w:color w:val="auto"/>
          <w:sz w:val="24"/>
          <w:szCs w:val="24"/>
          <w:highlight w:val="none"/>
        </w:rPr>
        <w:t>磋商</w:t>
      </w:r>
      <w:r>
        <w:rPr>
          <w:rFonts w:hint="eastAsia" w:ascii="方正仿宋_GBK" w:hAnsi="宋体" w:eastAsia="方正仿宋_GBK"/>
          <w:color w:val="auto"/>
          <w:sz w:val="24"/>
          <w:szCs w:val="24"/>
          <w:highlight w:val="none"/>
        </w:rPr>
        <w:t>的供应商应承担其编制响应文件与递交响应文件所涉及的一切费用，不论</w:t>
      </w:r>
      <w:r>
        <w:rPr>
          <w:rFonts w:hint="eastAsia" w:ascii="方正仿宋_GBK" w:eastAsia="方正仿宋_GBK"/>
          <w:color w:val="auto"/>
          <w:sz w:val="24"/>
          <w:szCs w:val="24"/>
          <w:highlight w:val="none"/>
        </w:rPr>
        <w:t>磋商</w:t>
      </w:r>
      <w:r>
        <w:rPr>
          <w:rFonts w:hint="eastAsia" w:ascii="方正仿宋_GBK" w:hAnsi="宋体" w:eastAsia="方正仿宋_GBK"/>
          <w:color w:val="auto"/>
          <w:sz w:val="24"/>
          <w:szCs w:val="24"/>
          <w:highlight w:val="none"/>
        </w:rPr>
        <w:t>结果如何，采购人和采购代理机构在任何情况下无义务也无责任承担这些费用。</w:t>
      </w:r>
    </w:p>
    <w:p w14:paraId="66DD23F9">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08" w:name="_Toc106030894"/>
      <w:bookmarkStart w:id="109" w:name="_Toc4002"/>
      <w:bookmarkStart w:id="110" w:name="_Toc342913391"/>
      <w:bookmarkStart w:id="111" w:name="_Toc76462339"/>
      <w:r>
        <w:rPr>
          <w:rFonts w:hint="eastAsia" w:ascii="方正仿宋_GBK" w:hAnsi="宋体" w:eastAsia="方正仿宋_GBK"/>
          <w:color w:val="auto"/>
          <w:sz w:val="24"/>
          <w:highlight w:val="none"/>
        </w:rPr>
        <w:t>二、竞争性磋商文件</w:t>
      </w:r>
      <w:bookmarkEnd w:id="108"/>
      <w:bookmarkEnd w:id="109"/>
      <w:bookmarkEnd w:id="110"/>
      <w:bookmarkEnd w:id="111"/>
    </w:p>
    <w:p w14:paraId="7089D89D">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（一）竞争性磋商文件由采购邀请书、项目服务需求、供应商须知、项目商务需求、磋商程序及方法、评审标准、无效响应和采购终止、供应商须知</w:t>
      </w:r>
      <w:r>
        <w:rPr>
          <w:rFonts w:hint="eastAsia" w:ascii="方正仿宋_GBK" w:hAnsi="宋体" w:eastAsia="方正仿宋_GBK"/>
          <w:b/>
          <w:color w:val="auto"/>
          <w:sz w:val="24"/>
          <w:szCs w:val="24"/>
          <w:highlight w:val="none"/>
        </w:rPr>
        <w:t>、</w:t>
      </w:r>
      <w:r>
        <w:rPr>
          <w:rFonts w:hint="eastAsia" w:ascii="方正仿宋_GBK" w:hAnsi="宋体" w:eastAsia="方正仿宋_GBK"/>
          <w:color w:val="auto"/>
          <w:sz w:val="24"/>
          <w:szCs w:val="24"/>
          <w:highlight w:val="none"/>
        </w:rPr>
        <w:t>政府采购合同</w:t>
      </w:r>
      <w:r>
        <w:rPr>
          <w:rFonts w:hint="eastAsia" w:ascii="方正仿宋_GBK" w:hAnsi="宋体" w:eastAsia="方正仿宋_GBK"/>
          <w:b/>
          <w:color w:val="auto"/>
          <w:sz w:val="24"/>
          <w:szCs w:val="24"/>
          <w:highlight w:val="none"/>
        </w:rPr>
        <w:t>、</w:t>
      </w:r>
      <w:r>
        <w:rPr>
          <w:rFonts w:hint="eastAsia" w:ascii="方正仿宋_GBK" w:hAnsi="宋体" w:eastAsia="方正仿宋_GBK"/>
          <w:color w:val="auto"/>
          <w:sz w:val="24"/>
          <w:szCs w:val="24"/>
          <w:highlight w:val="none"/>
        </w:rPr>
        <w:t>响应文件编制要求七部分组成。</w:t>
      </w:r>
    </w:p>
    <w:p w14:paraId="6223B607">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（二）采购人（或采购代理机构）所作的一切有效的书面通知、修改及补充，都是竞争性磋商文件不可分割的部分。</w:t>
      </w:r>
    </w:p>
    <w:p w14:paraId="125DD2D9">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（三）竞争性磋商文件的解释</w:t>
      </w:r>
    </w:p>
    <w:p w14:paraId="5F79DE7A">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如对竞争性磋商文件有疑问，必须以书面形式在提交响应文件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112" w:name="_Toc318159349"/>
      <w:bookmarkStart w:id="113" w:name="_Toc318166429"/>
      <w:bookmarkStart w:id="114" w:name="_Toc318159160"/>
      <w:bookmarkStart w:id="115" w:name="_Toc318159780"/>
    </w:p>
    <w:p w14:paraId="7FEA225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（四）本竞争性磋商文件中，磋商小组根据与供应商进行磋商可能实质性变动的内容为竞争性磋商文件第二、三、六篇全部内容。</w:t>
      </w:r>
    </w:p>
    <w:p w14:paraId="09D2A535">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（五）评审的依据为竞争性磋商文件和响应文件（含有效的书面承诺）。磋商小组判断响应文件对竞争性磋商文件的响应，仅基于响应文件本身而不靠外部证据。</w:t>
      </w:r>
    </w:p>
    <w:bookmarkEnd w:id="112"/>
    <w:bookmarkEnd w:id="113"/>
    <w:bookmarkEnd w:id="114"/>
    <w:bookmarkEnd w:id="115"/>
    <w:p w14:paraId="56F908A9">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16" w:name="_Toc179714297"/>
      <w:bookmarkStart w:id="117" w:name="_Toc106030895"/>
      <w:bookmarkStart w:id="118" w:name="_Toc30321"/>
      <w:bookmarkStart w:id="119" w:name="_Toc76462340"/>
      <w:bookmarkStart w:id="120" w:name="_Toc102227318"/>
      <w:bookmarkStart w:id="121" w:name="_Toc342913392"/>
      <w:r>
        <w:rPr>
          <w:rFonts w:hint="eastAsia" w:ascii="方正仿宋_GBK" w:hAnsi="宋体" w:eastAsia="方正仿宋_GBK"/>
          <w:color w:val="auto"/>
          <w:sz w:val="24"/>
          <w:highlight w:val="none"/>
        </w:rPr>
        <w:t>三、磋商要求</w:t>
      </w:r>
      <w:bookmarkEnd w:id="116"/>
      <w:bookmarkEnd w:id="117"/>
      <w:bookmarkEnd w:id="118"/>
      <w:bookmarkEnd w:id="119"/>
      <w:bookmarkEnd w:id="120"/>
      <w:bookmarkEnd w:id="121"/>
    </w:p>
    <w:p w14:paraId="66CE2A87">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（一）响应文件</w:t>
      </w:r>
    </w:p>
    <w:p w14:paraId="7F98E50B">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1.供应商应当按照竞争性磋商文件的要求编制响应文件，并对竞争性磋商文件提出的要求和条件作出实质性响应，响应文件原则上采用软面订本，同时应编制完整的页码、目录。</w:t>
      </w:r>
    </w:p>
    <w:p w14:paraId="5E9AEF3C">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2.响应文件组成</w:t>
      </w:r>
    </w:p>
    <w:p w14:paraId="39721742">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响应文件由“第七篇响应文件编制要求”规定的部分和供应商所作的一切有效补充、修改和承诺等文件组成，供应商应按照“第七篇响应文件编制要求”规定的目录顺序组织编写和装订，也可在基本格式基础上对表格进行扩展，未规定格式的由供应商自定格式。</w:t>
      </w:r>
    </w:p>
    <w:p w14:paraId="33E897E2">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eastAsia="zh-CN"/>
        </w:rPr>
        <w:t>二</w:t>
      </w:r>
      <w:r>
        <w:rPr>
          <w:rFonts w:hint="eastAsia" w:ascii="方正仿宋_GBK" w:hAnsi="宋体" w:eastAsia="方正仿宋_GBK"/>
          <w:color w:val="auto"/>
          <w:sz w:val="24"/>
          <w:szCs w:val="24"/>
          <w:highlight w:val="none"/>
        </w:rPr>
        <w:t>）磋商有效期：响应文件及有关承诺文件有效期为提交响应文件截止时间起90天。</w:t>
      </w:r>
    </w:p>
    <w:p w14:paraId="56D5292C">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eastAsia="zh-CN"/>
        </w:rPr>
        <w:t>三</w:t>
      </w:r>
      <w:r>
        <w:rPr>
          <w:rFonts w:hint="eastAsia" w:ascii="方正仿宋_GBK" w:hAnsi="宋体" w:eastAsia="方正仿宋_GBK"/>
          <w:color w:val="auto"/>
          <w:sz w:val="24"/>
          <w:szCs w:val="24"/>
          <w:highlight w:val="none"/>
        </w:rPr>
        <w:t>）修正错误</w:t>
      </w:r>
    </w:p>
    <w:p w14:paraId="46FE2D7E">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1.若供应商所递交的响应文件或最后报价中的价格出现大写金额和小写金额不一致的错误，以大写金额修正为准。</w:t>
      </w:r>
    </w:p>
    <w:p w14:paraId="13D5B3AC">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2.磋商小组按上述修正错误的原则及方法修正供应商的报价，供应商同意并签字确认后，修正后的报价对供应商具有约束作用。如果供应商不接受修正后的价格，将失去成为成交供应商的资格。</w:t>
      </w:r>
    </w:p>
    <w:p w14:paraId="428DAE96">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eastAsia="zh-CN"/>
        </w:rPr>
        <w:t>四</w:t>
      </w:r>
      <w:r>
        <w:rPr>
          <w:rFonts w:hint="eastAsia" w:ascii="方正仿宋_GBK" w:hAnsi="宋体" w:eastAsia="方正仿宋_GBK"/>
          <w:color w:val="auto"/>
          <w:sz w:val="24"/>
          <w:szCs w:val="24"/>
          <w:highlight w:val="none"/>
        </w:rPr>
        <w:t>）提交响应文件的份数和签署</w:t>
      </w:r>
    </w:p>
    <w:p w14:paraId="164A8C19">
      <w:pPr>
        <w:snapToGrid w:val="0"/>
        <w:spacing w:line="400" w:lineRule="exact"/>
        <w:ind w:firstLine="480" w:firstLineChars="200"/>
        <w:outlineLvl w:val="9"/>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1.响应文件一式</w:t>
      </w:r>
      <w:r>
        <w:rPr>
          <w:rFonts w:hint="eastAsia" w:ascii="方正仿宋_GBK" w:hAnsi="宋体" w:eastAsia="方正仿宋_GBK"/>
          <w:color w:val="auto"/>
          <w:sz w:val="24"/>
          <w:highlight w:val="none"/>
          <w:lang w:eastAsia="zh-CN"/>
        </w:rPr>
        <w:t>三</w:t>
      </w:r>
      <w:r>
        <w:rPr>
          <w:rFonts w:hint="eastAsia" w:ascii="方正仿宋_GBK" w:hAnsi="宋体" w:eastAsia="方正仿宋_GBK"/>
          <w:color w:val="auto"/>
          <w:sz w:val="24"/>
          <w:highlight w:val="none"/>
        </w:rPr>
        <w:t>份，其中正本一份，副本</w:t>
      </w:r>
      <w:r>
        <w:rPr>
          <w:rFonts w:hint="eastAsia" w:ascii="方正仿宋_GBK" w:hAnsi="宋体" w:eastAsia="方正仿宋_GBK"/>
          <w:color w:val="auto"/>
          <w:sz w:val="24"/>
          <w:highlight w:val="none"/>
          <w:lang w:eastAsia="zh-CN"/>
        </w:rPr>
        <w:t>两</w:t>
      </w:r>
      <w:r>
        <w:rPr>
          <w:rFonts w:hint="eastAsia" w:ascii="方正仿宋_GBK" w:hAnsi="宋体" w:eastAsia="方正仿宋_GBK"/>
          <w:color w:val="auto"/>
          <w:sz w:val="24"/>
          <w:highlight w:val="none"/>
        </w:rPr>
        <w:t>份</w:t>
      </w:r>
      <w:r>
        <w:rPr>
          <w:rFonts w:hint="eastAsia" w:ascii="方正仿宋_GBK" w:hAnsi="宋体" w:eastAsia="方正仿宋_GBK"/>
          <w:color w:val="auto"/>
          <w:sz w:val="24"/>
          <w:highlight w:val="none"/>
          <w:lang w:eastAsia="zh-CN"/>
        </w:rPr>
        <w:t>，电子文档一份</w:t>
      </w:r>
      <w:r>
        <w:rPr>
          <w:rFonts w:hint="eastAsia" w:ascii="方正仿宋_GBK" w:hAnsi="宋体" w:eastAsia="方正仿宋_GBK"/>
          <w:color w:val="auto"/>
          <w:sz w:val="24"/>
          <w:highlight w:val="none"/>
        </w:rPr>
        <w:t>；副本可为正本的复印件，应与正本一致，如出现不一致情况以正本为准。</w:t>
      </w:r>
    </w:p>
    <w:p w14:paraId="3F9A0551">
      <w:pPr>
        <w:snapToGrid w:val="0"/>
        <w:spacing w:line="400" w:lineRule="exact"/>
        <w:ind w:firstLine="480" w:firstLineChars="200"/>
        <w:outlineLvl w:val="9"/>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2.在响应文件正本中，竞争性谈判文件第七篇响应文件格式中规定签署、盖章的地方必须按其规定签署、盖章。</w:t>
      </w:r>
    </w:p>
    <w:p w14:paraId="57CC2BEA">
      <w:pPr>
        <w:snapToGrid w:val="0"/>
        <w:spacing w:line="400" w:lineRule="exact"/>
        <w:ind w:firstLine="480" w:firstLineChars="200"/>
        <w:outlineLvl w:val="9"/>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3.若供应商对响应文件的错处作必要修改，则应在修改处加盖供应商公章或由法定代表人（或其授权代表）或自然人（供应商为自然人）签署确认。</w:t>
      </w:r>
    </w:p>
    <w:p w14:paraId="1A9BE43B">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highlight w:val="none"/>
        </w:rPr>
        <w:t>4.电报、电话、传真形式的响应文件概不接受。</w:t>
      </w:r>
    </w:p>
    <w:p w14:paraId="5F59E8CC">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（六）响应文件的递交</w:t>
      </w:r>
    </w:p>
    <w:p w14:paraId="421888A2">
      <w:pPr>
        <w:snapToGrid w:val="0"/>
        <w:spacing w:line="400" w:lineRule="exact"/>
        <w:ind w:firstLine="482" w:firstLineChars="200"/>
        <w:outlineLvl w:val="9"/>
        <w:rPr>
          <w:rFonts w:hint="eastAsia" w:ascii="方正仿宋_GBK" w:hAnsi="宋体" w:eastAsia="方正仿宋_GBK"/>
          <w:b/>
          <w:bCs/>
          <w:color w:val="auto"/>
          <w:sz w:val="24"/>
          <w:szCs w:val="24"/>
          <w:highlight w:val="none"/>
        </w:rPr>
      </w:pPr>
      <w:r>
        <w:rPr>
          <w:rFonts w:hint="eastAsia" w:ascii="方正仿宋_GBK" w:hAnsi="宋体" w:eastAsia="方正仿宋_GBK"/>
          <w:b/>
          <w:bCs/>
          <w:color w:val="auto"/>
          <w:sz w:val="24"/>
          <w:szCs w:val="24"/>
          <w:highlight w:val="none"/>
        </w:rPr>
        <w:t>响应文件的正本、副本均应密封送达递交响应文件地点。封套上应注明项目名称（若项目实行分包采购，须注明分包号）、供应商名称。若正本、副本分别进行密封的，还应在封套上注明“正本”、“副本”字样。</w:t>
      </w:r>
    </w:p>
    <w:p w14:paraId="03545A42">
      <w:pPr>
        <w:pStyle w:val="31"/>
        <w:spacing w:line="400" w:lineRule="exact"/>
        <w:ind w:firstLine="482" w:firstLineChars="200"/>
        <w:rPr>
          <w:rFonts w:hint="eastAsia" w:ascii="方正仿宋_GBK" w:hAnsi="宋体" w:eastAsia="方正仿宋_GBK"/>
          <w:color w:val="auto"/>
          <w:sz w:val="24"/>
          <w:highlight w:val="none"/>
        </w:rPr>
      </w:pPr>
      <w:r>
        <w:rPr>
          <w:rFonts w:hint="eastAsia" w:ascii="方正仿宋_GBK" w:hAnsi="宋体" w:eastAsia="方正仿宋_GBK"/>
          <w:b/>
          <w:bCs/>
          <w:color w:val="auto"/>
          <w:sz w:val="24"/>
          <w:szCs w:val="24"/>
          <w:highlight w:val="none"/>
        </w:rPr>
        <w:t>如果响应文件未按上述规定进行密封或标记，采购代理机构对响应文件误投、丢失或提前拆封不负责任。</w:t>
      </w:r>
    </w:p>
    <w:p w14:paraId="44B8A6FE">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（七）供应商参与人员</w:t>
      </w:r>
    </w:p>
    <w:p w14:paraId="1EECA9E8">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各个供应商应当派1-2名代表参与磋商，至少1人应为法定代表人（或其授权代表）或自然人（供应商为自然人）。</w:t>
      </w:r>
    </w:p>
    <w:p w14:paraId="0251365B">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22" w:name="_Toc13059"/>
      <w:bookmarkStart w:id="123" w:name="_Toc106030896"/>
      <w:bookmarkStart w:id="124" w:name="_Toc76462341"/>
      <w:r>
        <w:rPr>
          <w:rFonts w:hint="eastAsia" w:ascii="方正仿宋_GBK" w:hAnsi="宋体" w:eastAsia="方正仿宋_GBK"/>
          <w:color w:val="auto"/>
          <w:sz w:val="24"/>
          <w:highlight w:val="none"/>
        </w:rPr>
        <w:t>四、成交供应商的确认和变更</w:t>
      </w:r>
      <w:bookmarkEnd w:id="122"/>
      <w:bookmarkEnd w:id="123"/>
      <w:bookmarkEnd w:id="124"/>
    </w:p>
    <w:p w14:paraId="39DB8EC1">
      <w:pPr>
        <w:snapToGrid w:val="0"/>
        <w:spacing w:line="400" w:lineRule="exact"/>
        <w:ind w:firstLine="480" w:firstLineChars="200"/>
        <w:outlineLvl w:val="2"/>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（一）成交供应商的确认</w:t>
      </w:r>
    </w:p>
    <w:p w14:paraId="6A249F3D">
      <w:pPr>
        <w:snapToGrid w:val="0"/>
        <w:spacing w:line="400" w:lineRule="exact"/>
        <w:ind w:firstLine="480" w:firstLineChars="200"/>
        <w:rPr>
          <w:rFonts w:hint="eastAsia" w:ascii="方正仿宋_GBK" w:hAnsi="宋体" w:eastAsia="方正仿宋_GBK"/>
          <w:color w:val="auto"/>
          <w:sz w:val="24"/>
          <w:szCs w:val="24"/>
          <w:highlight w:val="none"/>
        </w:rPr>
      </w:pPr>
      <w:r>
        <w:rPr>
          <w:rFonts w:ascii="方正仿宋_GBK" w:hAnsi="宋体" w:eastAsia="方正仿宋_GBK"/>
          <w:color w:val="auto"/>
          <w:sz w:val="24"/>
          <w:szCs w:val="24"/>
          <w:highlight w:val="none"/>
        </w:rPr>
        <w:t>采购代理机构应当在评审结束后2个工作日内将评审报告送采购人确认。采购人应当在收到评审报告后5个工作日内</w:t>
      </w:r>
      <w:r>
        <w:rPr>
          <w:rFonts w:hint="eastAsia" w:ascii="方正仿宋_GBK" w:hAnsi="宋体" w:eastAsia="方正仿宋_GBK"/>
          <w:color w:val="auto"/>
          <w:sz w:val="24"/>
          <w:szCs w:val="24"/>
          <w:highlight w:val="none"/>
        </w:rPr>
        <w:t>，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1BE9575">
      <w:pPr>
        <w:snapToGrid w:val="0"/>
        <w:spacing w:line="400" w:lineRule="exact"/>
        <w:ind w:firstLine="480" w:firstLineChars="200"/>
        <w:outlineLvl w:val="2"/>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（二）成交供应商的变更</w:t>
      </w:r>
    </w:p>
    <w:p w14:paraId="2C87673A">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eastAsia="方正仿宋_GBK"/>
          <w:color w:val="auto"/>
          <w:sz w:val="24"/>
          <w:highlight w:val="none"/>
        </w:rPr>
        <w:t>成交供应商拒绝与采购人签订合同的，采购人可以按照评标报告推荐的成交候选供应商顺序，确定排名下一位的候选人为成交供应商，也可以重新开展政府采购活动。</w:t>
      </w:r>
    </w:p>
    <w:p w14:paraId="65C3D2EC">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25" w:name="_Toc102227321"/>
      <w:bookmarkStart w:id="126" w:name="_Toc106030897"/>
      <w:bookmarkStart w:id="127" w:name="_Toc14145"/>
      <w:bookmarkStart w:id="128" w:name="_Toc342913395"/>
      <w:bookmarkStart w:id="129" w:name="_Toc76462342"/>
      <w:r>
        <w:rPr>
          <w:rFonts w:hint="eastAsia" w:ascii="方正仿宋_GBK" w:hAnsi="宋体" w:eastAsia="方正仿宋_GBK"/>
          <w:color w:val="auto"/>
          <w:sz w:val="24"/>
          <w:highlight w:val="none"/>
        </w:rPr>
        <w:t>五、成交通知</w:t>
      </w:r>
      <w:bookmarkEnd w:id="125"/>
      <w:bookmarkEnd w:id="126"/>
      <w:bookmarkEnd w:id="127"/>
      <w:bookmarkEnd w:id="128"/>
      <w:bookmarkEnd w:id="129"/>
    </w:p>
    <w:p w14:paraId="1DAAF6D9">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textAlignment w:val="auto"/>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（一）成交供应商确定后，采购代理机构将在</w:t>
      </w:r>
      <w:r>
        <w:rPr>
          <w:rFonts w:hint="eastAsia" w:ascii="方正仿宋_GBK" w:hAnsi="宋体" w:eastAsia="方正仿宋_GBK"/>
          <w:color w:val="auto"/>
          <w:sz w:val="24"/>
          <w:szCs w:val="24"/>
          <w:highlight w:val="none"/>
          <w:lang w:eastAsia="zh-CN"/>
        </w:rPr>
        <w:t>“行采家(https://www.gec123.com/)、重庆市总工会（https://www.cqgh.org/）”</w:t>
      </w:r>
      <w:r>
        <w:rPr>
          <w:rFonts w:hint="eastAsia" w:ascii="方正仿宋_GBK" w:hAnsi="宋体" w:eastAsia="方正仿宋_GBK"/>
          <w:color w:val="auto"/>
          <w:sz w:val="24"/>
          <w:szCs w:val="24"/>
          <w:highlight w:val="none"/>
        </w:rPr>
        <w:t>发布成交结果公告。</w:t>
      </w:r>
    </w:p>
    <w:p w14:paraId="7A08A0F2">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（二）结果公告发出同时，采购代理机构将以书面形式发出《成交通知书》。《成交通知书》一经发出即发生法律效力。</w:t>
      </w:r>
    </w:p>
    <w:p w14:paraId="765CD87A">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（三）《成交通知书》将作为签订合同的依据。</w:t>
      </w:r>
    </w:p>
    <w:p w14:paraId="1E2BF965">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30" w:name="_Toc76462343"/>
      <w:bookmarkStart w:id="131" w:name="_Toc5592"/>
      <w:bookmarkStart w:id="132" w:name="_Toc106030898"/>
      <w:r>
        <w:rPr>
          <w:rFonts w:hint="eastAsia" w:ascii="方正仿宋_GBK" w:hAnsi="宋体" w:eastAsia="方正仿宋_GBK"/>
          <w:color w:val="auto"/>
          <w:sz w:val="24"/>
          <w:highlight w:val="none"/>
        </w:rPr>
        <w:t>六、关于质疑和投诉</w:t>
      </w:r>
      <w:bookmarkEnd w:id="130"/>
      <w:bookmarkEnd w:id="131"/>
      <w:bookmarkEnd w:id="132"/>
    </w:p>
    <w:p w14:paraId="7C8D1717">
      <w:pPr>
        <w:spacing w:line="400" w:lineRule="exact"/>
        <w:ind w:firstLine="480" w:firstLineChars="200"/>
        <w:outlineLvl w:val="2"/>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（一）质疑</w:t>
      </w:r>
    </w:p>
    <w:p w14:paraId="684823F7">
      <w:pPr>
        <w:spacing w:line="400" w:lineRule="exact"/>
        <w:ind w:firstLine="480" w:firstLineChars="200"/>
        <w:rPr>
          <w:rFonts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供应商认为采购文件、采购过程和成交结果使自己的权益收到伤害的，可向采购人或采购代理机构以书面形式提出质疑。</w:t>
      </w:r>
    </w:p>
    <w:p w14:paraId="21A57476">
      <w:pPr>
        <w:spacing w:line="400" w:lineRule="exact"/>
        <w:ind w:firstLine="480" w:firstLineChars="200"/>
        <w:rPr>
          <w:rFonts w:hint="eastAsia" w:ascii="方正仿宋_GBK" w:hAnsi="宋体" w:eastAsia="方正仿宋_GBK"/>
          <w:color w:val="auto"/>
          <w:sz w:val="24"/>
          <w:szCs w:val="24"/>
          <w:highlight w:val="none"/>
          <w:lang w:eastAsia="zh-CN"/>
        </w:rPr>
      </w:pPr>
      <w:r>
        <w:rPr>
          <w:rFonts w:hint="eastAsia" w:ascii="方正仿宋_GBK" w:hAnsi="宋体" w:eastAsia="方正仿宋_GBK"/>
          <w:color w:val="auto"/>
          <w:sz w:val="24"/>
          <w:szCs w:val="24"/>
          <w:highlight w:val="none"/>
        </w:rPr>
        <w:t>提出质疑的应当是参与所质疑项目采购活动的供应商。</w:t>
      </w:r>
    </w:p>
    <w:p w14:paraId="0C2E5738">
      <w:pPr>
        <w:spacing w:line="400" w:lineRule="exact"/>
        <w:ind w:right="12" w:firstLine="480"/>
        <w:outlineLvl w:val="2"/>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1.质疑时限、内容</w:t>
      </w:r>
    </w:p>
    <w:p w14:paraId="3B936D24">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供应商认为采购文件、采购过程、成交结果使自己的权益受到损害的，可以在知道或者应知其权益受到损害之日起7个工作日内，以书面形式向采购人、采购代理机构提出质疑。</w:t>
      </w:r>
    </w:p>
    <w:p w14:paraId="7A9D13BA">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1.2供应商提出质疑应当提交质疑函和必要的证明材料，质疑函应当包括下列内容：</w:t>
      </w:r>
    </w:p>
    <w:p w14:paraId="0C3BA259">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1.2.1供应商的姓名或者名称、地址、邮编、联系人及联系电话；</w:t>
      </w:r>
    </w:p>
    <w:p w14:paraId="78AE625B">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1.2.2质疑项目的名称、项目号以及采购执行编号；</w:t>
      </w:r>
    </w:p>
    <w:p w14:paraId="11FB8624">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1.2.3具体、明确的质疑事项和与质疑事项相关的请求；</w:t>
      </w:r>
    </w:p>
    <w:p w14:paraId="26933024">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1.2.4事实依据；</w:t>
      </w:r>
    </w:p>
    <w:p w14:paraId="1C6724BF">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1.2.5必要的法律依据；</w:t>
      </w:r>
    </w:p>
    <w:p w14:paraId="036BD04B">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1.2.6提出质疑的日期；</w:t>
      </w:r>
    </w:p>
    <w:p w14:paraId="19D9B144">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1.2.7营业执照（或事业单位法人证书，或个体工商户营业执照或有效的自然人身份证明）复印件；</w:t>
      </w:r>
    </w:p>
    <w:p w14:paraId="133A55F4">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1.2.8法定代表人授权委托书原件、法定代表人身份证复印件和其授权代表的身份证复印件（供应商为自然人的提供自然人身份证复印件）；</w:t>
      </w:r>
    </w:p>
    <w:p w14:paraId="7DD0AAB6">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1.3供应商为自然人的，质疑函应当由本人签字；供应商为法人或者其他组织的，质疑函应当由法定代表人、主要负责人，或者其授权代表签字或者盖章，并加盖公章。</w:t>
      </w:r>
    </w:p>
    <w:p w14:paraId="16907805">
      <w:pPr>
        <w:spacing w:line="400" w:lineRule="exact"/>
        <w:ind w:right="12" w:firstLine="480"/>
        <w:outlineLvl w:val="2"/>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2.质疑答复</w:t>
      </w:r>
    </w:p>
    <w:p w14:paraId="0B963263">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采购人、采购代理机构应当在收到供应商的书面质疑后七个工作日内作出答复，并以书面形式通知质疑供应商和其他有关供应商。</w:t>
      </w:r>
    </w:p>
    <w:p w14:paraId="152D2EC7">
      <w:pPr>
        <w:spacing w:line="400" w:lineRule="exact"/>
        <w:ind w:right="12" w:firstLine="480"/>
        <w:outlineLvl w:val="2"/>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3.其他</w:t>
      </w:r>
    </w:p>
    <w:p w14:paraId="3E5C4850">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3.1供应商应按照《政府采购质疑和投诉办法》（财政部令第94号）及相关法律法规要求，在法定质疑期内一次性提出针对同一采购程序环节的质疑。</w:t>
      </w:r>
    </w:p>
    <w:p w14:paraId="1ADEB4A5">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3.2质疑函范本可在财政部门户网站和中国政府采购网下载。</w:t>
      </w:r>
    </w:p>
    <w:p w14:paraId="5F74ADDE">
      <w:pPr>
        <w:spacing w:line="400" w:lineRule="exact"/>
        <w:ind w:right="12" w:firstLine="480"/>
        <w:outlineLvl w:val="2"/>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（二）投诉</w:t>
      </w:r>
    </w:p>
    <w:p w14:paraId="588D718B">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1.供应商对采购人、采购代理机构的答复不满意，或者采购人、采购代理机构未在规定时间内作出答复的，可以在答复期满后15个工作日内按照相关法律法规向财政部门提起投诉。</w:t>
      </w:r>
    </w:p>
    <w:p w14:paraId="482599CD">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2.供应商应按照《政府采购质疑和投诉办法》（财政部令第94号）及相关法律法规要求递交投诉书和必要的证明材料。投诉书范本可在财政部门户网站和中国政府采购网下载。</w:t>
      </w:r>
    </w:p>
    <w:p w14:paraId="3F3670E1">
      <w:pPr>
        <w:spacing w:line="400" w:lineRule="exact"/>
        <w:ind w:right="12" w:firstLine="480"/>
        <w:rPr>
          <w:rFonts w:ascii="方正仿宋_GBK" w:hAnsi="仿宋" w:eastAsia="方正仿宋_GBK" w:cs="仿宋"/>
          <w:color w:val="auto"/>
          <w:sz w:val="24"/>
          <w:highlight w:val="none"/>
        </w:rPr>
      </w:pPr>
      <w:r>
        <w:rPr>
          <w:rFonts w:hint="eastAsia" w:ascii="方正仿宋_GBK" w:hAnsi="仿宋" w:eastAsia="方正仿宋_GBK" w:cs="仿宋"/>
          <w:color w:val="auto"/>
          <w:sz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9A7F35E">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仿宋" w:eastAsia="方正仿宋_GBK" w:cs="仿宋"/>
          <w:color w:val="auto"/>
          <w:sz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2B5E97C9">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33" w:name="_Toc11405"/>
      <w:bookmarkStart w:id="134" w:name="_Toc76462344"/>
      <w:bookmarkStart w:id="135" w:name="_Toc106030899"/>
      <w:r>
        <w:rPr>
          <w:rFonts w:hint="eastAsia" w:ascii="方正仿宋_GBK" w:hAnsi="宋体" w:eastAsia="方正仿宋_GBK"/>
          <w:color w:val="auto"/>
          <w:sz w:val="24"/>
          <w:highlight w:val="none"/>
        </w:rPr>
        <w:t>七、采购代理服务费</w:t>
      </w:r>
      <w:bookmarkEnd w:id="133"/>
      <w:bookmarkEnd w:id="134"/>
      <w:bookmarkEnd w:id="135"/>
    </w:p>
    <w:p w14:paraId="41B1CE04">
      <w:pPr>
        <w:spacing w:line="400" w:lineRule="exact"/>
        <w:ind w:firstLine="480" w:firstLineChars="200"/>
        <w:rPr>
          <w:rFonts w:hint="default" w:ascii="方正仿宋_GBK" w:hAnsi="宋体" w:eastAsia="方正仿宋_GBK"/>
          <w:color w:val="auto"/>
          <w:sz w:val="24"/>
          <w:highlight w:val="none"/>
          <w:lang w:val="en-US" w:eastAsia="zh-CN"/>
        </w:rPr>
      </w:pPr>
      <w:r>
        <w:rPr>
          <w:rFonts w:hint="eastAsia" w:ascii="方正仿宋_GBK" w:hAnsi="宋体" w:eastAsia="方正仿宋_GBK"/>
          <w:color w:val="auto"/>
          <w:sz w:val="24"/>
          <w:highlight w:val="none"/>
          <w:lang w:val="en-US" w:eastAsia="zh-CN"/>
        </w:rPr>
        <w:t>供应商成交后向采购代理机构缴纳采购代理服务费并领取中标通知书，采购代理服务费的收取标准按照以下标准执行：包干价4000元</w:t>
      </w:r>
    </w:p>
    <w:p w14:paraId="0F2EB923">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36" w:name="_Toc102227322"/>
      <w:bookmarkStart w:id="137" w:name="_Toc76462346"/>
      <w:bookmarkStart w:id="138" w:name="_Toc342913396"/>
      <w:bookmarkStart w:id="139" w:name="_Toc106030901"/>
      <w:bookmarkStart w:id="140" w:name="_Toc13235"/>
      <w:bookmarkStart w:id="141" w:name="_Toc12789059"/>
      <w:bookmarkStart w:id="142" w:name="_Toc11641055"/>
      <w:r>
        <w:rPr>
          <w:rFonts w:hint="eastAsia" w:ascii="方正仿宋_GBK" w:hAnsi="宋体" w:eastAsia="方正仿宋_GBK"/>
          <w:color w:val="auto"/>
          <w:sz w:val="24"/>
          <w:highlight w:val="none"/>
          <w:lang w:val="en-US" w:eastAsia="zh-CN"/>
        </w:rPr>
        <w:t>八</w:t>
      </w:r>
      <w:r>
        <w:rPr>
          <w:rFonts w:hint="eastAsia" w:ascii="方正仿宋_GBK" w:hAnsi="宋体" w:eastAsia="方正仿宋_GBK"/>
          <w:color w:val="auto"/>
          <w:sz w:val="24"/>
          <w:highlight w:val="none"/>
        </w:rPr>
        <w:t>、签订</w:t>
      </w:r>
      <w:bookmarkEnd w:id="136"/>
      <w:r>
        <w:rPr>
          <w:rFonts w:hint="eastAsia" w:ascii="方正仿宋_GBK" w:hAnsi="宋体" w:eastAsia="方正仿宋_GBK"/>
          <w:color w:val="auto"/>
          <w:sz w:val="24"/>
          <w:highlight w:val="none"/>
        </w:rPr>
        <w:t>合同</w:t>
      </w:r>
      <w:bookmarkEnd w:id="137"/>
      <w:bookmarkEnd w:id="138"/>
      <w:bookmarkEnd w:id="139"/>
      <w:bookmarkEnd w:id="140"/>
    </w:p>
    <w:p w14:paraId="0E716607">
      <w:pPr>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采购人原则上应在成交通知书发出之日起二十日内和成交供应商签订采购合同，无正当理由不得拒绝或拖延合同签订。所签订的合同不得对竞争性磋商文件和供应商的响应文件作实质性修改。其他未尽事宜由采购人和成交供应商在采购合同中详细约定。</w:t>
      </w:r>
    </w:p>
    <w:p w14:paraId="06D8705B">
      <w:pPr>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（二）竞争性磋商文件、供应商的响应文件及澄清文件等，均为签订采购合同的依据。</w:t>
      </w:r>
    </w:p>
    <w:p w14:paraId="42EA9D08">
      <w:pPr>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（三）合同生效条款由供需双方约定，法律、行政法规规定应当办理批准、登记等手续后生效的合同，依照其规定。</w:t>
      </w:r>
    </w:p>
    <w:p w14:paraId="69874FFB">
      <w:pPr>
        <w:spacing w:line="400" w:lineRule="exact"/>
        <w:ind w:firstLine="360" w:firstLineChars="15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   （四）采购人要求成交供应商提供履约保证金的，应当在竞争性磋商文件中予以约定。成交供应商履约完毕后，采购人根据采购文件规定无息退还其履约保证金。</w:t>
      </w:r>
    </w:p>
    <w:p w14:paraId="41C7780F">
      <w:pPr>
        <w:spacing w:line="400" w:lineRule="exact"/>
        <w:ind w:firstLine="360" w:firstLineChars="150"/>
        <w:rPr>
          <w:rFonts w:hint="eastAsia" w:ascii="方正仿宋_GBK" w:hAnsi="宋体" w:eastAsia="方正仿宋_GBK"/>
          <w:color w:val="auto"/>
          <w:sz w:val="24"/>
          <w:szCs w:val="24"/>
          <w:highlight w:val="none"/>
        </w:rPr>
      </w:pPr>
    </w:p>
    <w:p w14:paraId="13BB1504">
      <w:pPr>
        <w:spacing w:line="400" w:lineRule="exact"/>
        <w:ind w:firstLine="480" w:firstLineChars="200"/>
        <w:rPr>
          <w:rFonts w:hint="eastAsia" w:ascii="方正仿宋_GBK" w:hAnsi="宋体" w:eastAsia="方正仿宋_GBK"/>
          <w:color w:val="auto"/>
          <w:sz w:val="24"/>
          <w:szCs w:val="24"/>
          <w:highlight w:val="none"/>
        </w:rPr>
      </w:pPr>
    </w:p>
    <w:p w14:paraId="3C5497F7">
      <w:pPr>
        <w:pStyle w:val="3"/>
        <w:spacing w:before="0" w:after="0" w:line="360" w:lineRule="auto"/>
        <w:jc w:val="center"/>
        <w:rPr>
          <w:rFonts w:hint="eastAsia" w:ascii="方正小标宋_GBK" w:hAnsi="宋体" w:eastAsia="方正小标宋_GBK"/>
          <w:b w:val="0"/>
          <w:color w:val="auto"/>
          <w:sz w:val="36"/>
          <w:szCs w:val="30"/>
          <w:highlight w:val="none"/>
        </w:rPr>
      </w:pPr>
      <w:r>
        <w:rPr>
          <w:rFonts w:ascii="宋体" w:hAnsi="宋体" w:eastAsia="宋体"/>
          <w:color w:val="auto"/>
          <w:sz w:val="36"/>
          <w:szCs w:val="30"/>
          <w:highlight w:val="none"/>
        </w:rPr>
        <w:br w:type="page"/>
      </w:r>
      <w:bookmarkStart w:id="143" w:name="_Toc106030904"/>
      <w:bookmarkStart w:id="144" w:name="_Toc76462348"/>
      <w:bookmarkStart w:id="145" w:name="_Toc21602"/>
      <w:r>
        <w:rPr>
          <w:rFonts w:hint="eastAsia" w:ascii="方正小标宋_GBK" w:hAnsi="宋体" w:eastAsia="方正小标宋_GBK"/>
          <w:b w:val="0"/>
          <w:color w:val="auto"/>
          <w:sz w:val="36"/>
          <w:szCs w:val="30"/>
          <w:highlight w:val="none"/>
        </w:rPr>
        <w:t xml:space="preserve">第六篇  </w:t>
      </w:r>
      <w:bookmarkEnd w:id="141"/>
      <w:bookmarkEnd w:id="142"/>
      <w:r>
        <w:rPr>
          <w:rFonts w:hint="eastAsia" w:ascii="方正小标宋_GBK" w:hAnsi="宋体" w:eastAsia="方正小标宋_GBK"/>
          <w:b w:val="0"/>
          <w:color w:val="auto"/>
          <w:sz w:val="36"/>
          <w:szCs w:val="30"/>
          <w:highlight w:val="none"/>
        </w:rPr>
        <w:t>政府采购合同</w:t>
      </w:r>
      <w:bookmarkEnd w:id="143"/>
      <w:bookmarkEnd w:id="144"/>
      <w:bookmarkEnd w:id="145"/>
    </w:p>
    <w:p w14:paraId="34C7308B">
      <w:pPr>
        <w:spacing w:line="500" w:lineRule="exact"/>
        <w:jc w:val="center"/>
        <w:rPr>
          <w:rFonts w:hint="eastAsia" w:ascii="方正仿宋_GBK" w:eastAsia="方正仿宋_GBK"/>
          <w:b/>
          <w:color w:val="auto"/>
          <w:sz w:val="28"/>
          <w:szCs w:val="28"/>
          <w:highlight w:val="none"/>
        </w:rPr>
      </w:pPr>
    </w:p>
    <w:p w14:paraId="1B106585">
      <w:pPr>
        <w:spacing w:line="500" w:lineRule="exact"/>
        <w:jc w:val="center"/>
        <w:rPr>
          <w:rFonts w:hint="eastAsia" w:ascii="方正仿宋_GBK" w:eastAsia="方正仿宋_GBK"/>
          <w:b/>
          <w:color w:val="auto"/>
          <w:sz w:val="28"/>
          <w:szCs w:val="28"/>
          <w:highlight w:val="none"/>
          <w:lang w:val="en-US" w:eastAsia="zh-CN"/>
        </w:rPr>
      </w:pPr>
      <w:r>
        <w:rPr>
          <w:rFonts w:hint="eastAsia" w:ascii="方正仿宋_GBK" w:eastAsia="方正仿宋_GBK"/>
          <w:b/>
          <w:color w:val="auto"/>
          <w:sz w:val="28"/>
          <w:szCs w:val="28"/>
          <w:highlight w:val="none"/>
        </w:rPr>
        <w:t>采购合同</w:t>
      </w:r>
      <w:r>
        <w:rPr>
          <w:rFonts w:hint="eastAsia" w:ascii="方正仿宋_GBK" w:eastAsia="方正仿宋_GBK"/>
          <w:b/>
          <w:color w:val="auto"/>
          <w:sz w:val="28"/>
          <w:szCs w:val="28"/>
          <w:highlight w:val="none"/>
          <w:lang w:eastAsia="zh-CN"/>
        </w:rPr>
        <w:t>成交后另行签订</w:t>
      </w:r>
    </w:p>
    <w:p w14:paraId="5B332B04">
      <w:pPr>
        <w:rPr>
          <w:rFonts w:hint="eastAsia" w:ascii="方正小标宋_GBK" w:hAnsi="宋体" w:eastAsia="方正小标宋_GBK"/>
          <w:b w:val="0"/>
          <w:color w:val="auto"/>
          <w:sz w:val="36"/>
          <w:szCs w:val="30"/>
          <w:highlight w:val="none"/>
        </w:rPr>
      </w:pPr>
      <w:bookmarkStart w:id="146" w:name="_Hlt41879464"/>
      <w:bookmarkEnd w:id="146"/>
      <w:bookmarkStart w:id="147" w:name="_Toc76462349"/>
      <w:bookmarkStart w:id="148" w:name="_Toc106030905"/>
      <w:r>
        <w:rPr>
          <w:rFonts w:hint="eastAsia" w:ascii="方正小标宋_GBK" w:hAnsi="宋体" w:eastAsia="方正小标宋_GBK"/>
          <w:b w:val="0"/>
          <w:color w:val="auto"/>
          <w:sz w:val="36"/>
          <w:szCs w:val="30"/>
          <w:highlight w:val="none"/>
        </w:rPr>
        <w:br w:type="page"/>
      </w:r>
    </w:p>
    <w:p w14:paraId="79EF5D3D">
      <w:pPr>
        <w:rPr>
          <w:rFonts w:hint="eastAsia"/>
        </w:rPr>
      </w:pPr>
    </w:p>
    <w:p w14:paraId="2DBF688C">
      <w:pPr>
        <w:pStyle w:val="3"/>
        <w:spacing w:before="0" w:after="0" w:line="360" w:lineRule="auto"/>
        <w:jc w:val="center"/>
        <w:rPr>
          <w:rFonts w:hint="eastAsia" w:ascii="方正小标宋_GBK" w:hAnsi="宋体" w:eastAsia="方正小标宋_GBK"/>
          <w:b w:val="0"/>
          <w:color w:val="auto"/>
          <w:sz w:val="36"/>
          <w:szCs w:val="30"/>
          <w:highlight w:val="none"/>
        </w:rPr>
      </w:pPr>
      <w:bookmarkStart w:id="149" w:name="_Toc18467"/>
      <w:r>
        <w:rPr>
          <w:rFonts w:hint="eastAsia" w:ascii="方正小标宋_GBK" w:hAnsi="宋体" w:eastAsia="方正小标宋_GBK"/>
          <w:b w:val="0"/>
          <w:color w:val="auto"/>
          <w:sz w:val="36"/>
          <w:szCs w:val="30"/>
          <w:highlight w:val="none"/>
        </w:rPr>
        <w:t>第七篇  响应文件编制要求</w:t>
      </w:r>
      <w:bookmarkEnd w:id="147"/>
      <w:bookmarkEnd w:id="148"/>
      <w:bookmarkEnd w:id="149"/>
    </w:p>
    <w:p w14:paraId="06B40CF6">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一、经济部分</w:t>
      </w:r>
    </w:p>
    <w:p w14:paraId="00C7D503">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（一）竞争性磋商报价函</w:t>
      </w:r>
    </w:p>
    <w:p w14:paraId="3B4E66F7">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二、服务部分</w:t>
      </w:r>
    </w:p>
    <w:p w14:paraId="6FF924B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（一）服务方案</w:t>
      </w:r>
    </w:p>
    <w:p w14:paraId="0C609625">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（二）服务响应偏离表</w:t>
      </w:r>
    </w:p>
    <w:p w14:paraId="1E80B08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三、商务部分</w:t>
      </w:r>
    </w:p>
    <w:p w14:paraId="3F5ABC29">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（一）商务响应偏离表</w:t>
      </w:r>
    </w:p>
    <w:p w14:paraId="64A629CF">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（二）其它优惠服务承诺（格式自定）</w:t>
      </w:r>
    </w:p>
    <w:p w14:paraId="228B7634">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四、资格条件及其他</w:t>
      </w:r>
    </w:p>
    <w:p w14:paraId="135459B7">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（一）法人营业执照（副本）或事业单位法人证书（副本）或个体工商户营业执照或有效的自然人身份证明或社会团体法人登记证书复印件</w:t>
      </w:r>
    </w:p>
    <w:p w14:paraId="69BA85FD">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（二）法定代表人身份证明书（格式）</w:t>
      </w:r>
    </w:p>
    <w:p w14:paraId="051D74D3">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（三）法定代表人授权委托书（格式）</w:t>
      </w:r>
    </w:p>
    <w:p w14:paraId="5F579222">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（四）基本资格条件承诺函（格式）</w:t>
      </w:r>
    </w:p>
    <w:p w14:paraId="4FF732D2">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五、其他资料</w:t>
      </w:r>
    </w:p>
    <w:p w14:paraId="79B892AF">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（一）其他与项目有关的资料</w:t>
      </w:r>
    </w:p>
    <w:p w14:paraId="540632C4">
      <w:pPr>
        <w:snapToGrid w:val="0"/>
        <w:spacing w:line="360" w:lineRule="auto"/>
        <w:rPr>
          <w:rFonts w:ascii="宋体" w:hAnsi="宋体"/>
          <w:color w:val="auto"/>
          <w:sz w:val="24"/>
          <w:szCs w:val="24"/>
          <w:highlight w:val="none"/>
          <w:bdr w:val="single" w:color="auto" w:sz="4" w:space="0"/>
        </w:rPr>
        <w:sectPr>
          <w:footerReference r:id="rId11" w:type="default"/>
          <w:pgSz w:w="11907" w:h="16840"/>
          <w:pgMar w:top="1134" w:right="1191" w:bottom="1134" w:left="1304" w:header="851" w:footer="992" w:gutter="0"/>
          <w:pgNumType w:fmt="numberInDash"/>
          <w:cols w:space="720" w:num="1"/>
          <w:docGrid w:linePitch="380" w:charSpace="-5735"/>
        </w:sectPr>
      </w:pPr>
    </w:p>
    <w:p w14:paraId="531600D6">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50" w:name="_Toc313888360"/>
      <w:bookmarkStart w:id="151" w:name="_Toc106030906"/>
      <w:bookmarkStart w:id="152" w:name="_Toc76462350"/>
      <w:bookmarkStart w:id="153" w:name="_Toc342913419"/>
      <w:bookmarkStart w:id="154" w:name="_Toc313008356"/>
      <w:bookmarkStart w:id="155" w:name="_Toc17124"/>
      <w:bookmarkStart w:id="156" w:name="_Toc283382454"/>
      <w:bookmarkStart w:id="157" w:name="_Toc12789073"/>
      <w:r>
        <w:rPr>
          <w:rFonts w:hint="eastAsia" w:ascii="方正仿宋_GBK" w:hAnsi="宋体" w:eastAsia="方正仿宋_GBK"/>
          <w:color w:val="auto"/>
          <w:sz w:val="24"/>
          <w:highlight w:val="none"/>
        </w:rPr>
        <w:t>一、经济部分</w:t>
      </w:r>
      <w:bookmarkEnd w:id="150"/>
      <w:bookmarkEnd w:id="151"/>
      <w:bookmarkEnd w:id="152"/>
      <w:bookmarkEnd w:id="153"/>
      <w:bookmarkEnd w:id="154"/>
      <w:bookmarkEnd w:id="155"/>
    </w:p>
    <w:bookmarkEnd w:id="156"/>
    <w:bookmarkEnd w:id="157"/>
    <w:p w14:paraId="604D2278">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（一）竞争性磋商报价函</w:t>
      </w:r>
    </w:p>
    <w:p w14:paraId="4BDAC52F">
      <w:pPr>
        <w:jc w:val="center"/>
        <w:rPr>
          <w:rFonts w:hint="eastAsia" w:ascii="方正仿宋_GBK" w:eastAsia="方正仿宋_GBK"/>
          <w:b/>
          <w:color w:val="auto"/>
          <w:szCs w:val="28"/>
          <w:highlight w:val="none"/>
        </w:rPr>
      </w:pPr>
      <w:r>
        <w:rPr>
          <w:rFonts w:hint="eastAsia" w:ascii="方正仿宋_GBK" w:eastAsia="方正仿宋_GBK"/>
          <w:b/>
          <w:color w:val="auto"/>
          <w:szCs w:val="28"/>
          <w:highlight w:val="none"/>
        </w:rPr>
        <w:t>竞争性磋商报价函</w:t>
      </w:r>
    </w:p>
    <w:p w14:paraId="5B7DAF2D">
      <w:pPr>
        <w:tabs>
          <w:tab w:val="left" w:pos="6300"/>
        </w:tabs>
        <w:snapToGrid w:val="0"/>
        <w:spacing w:line="312" w:lineRule="auto"/>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u w:val="single"/>
        </w:rPr>
        <w:t>（采购代理机构名称）</w:t>
      </w:r>
      <w:r>
        <w:rPr>
          <w:rFonts w:hint="eastAsia" w:ascii="方正仿宋_GBK" w:hAnsi="宋体" w:eastAsia="方正仿宋_GBK"/>
          <w:color w:val="auto"/>
          <w:sz w:val="24"/>
          <w:szCs w:val="24"/>
          <w:highlight w:val="none"/>
        </w:rPr>
        <w:t>：</w:t>
      </w:r>
    </w:p>
    <w:p w14:paraId="0FE2AC05">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我方收到</w:t>
      </w:r>
      <w:r>
        <w:rPr>
          <w:rFonts w:hint="eastAsia" w:ascii="方正仿宋_GBK" w:hAnsi="宋体" w:eastAsia="方正仿宋_GBK"/>
          <w:color w:val="auto"/>
          <w:sz w:val="24"/>
          <w:szCs w:val="24"/>
          <w:highlight w:val="none"/>
          <w:u w:val="single"/>
          <w:lang w:val="en-US" w:eastAsia="zh-CN"/>
        </w:rPr>
        <w:t xml:space="preserve">                                          </w:t>
      </w:r>
      <w:r>
        <w:rPr>
          <w:rFonts w:hint="eastAsia" w:ascii="方正仿宋_GBK" w:hAnsi="宋体" w:eastAsia="方正仿宋_GBK"/>
          <w:color w:val="auto"/>
          <w:sz w:val="24"/>
          <w:szCs w:val="24"/>
          <w:highlight w:val="none"/>
        </w:rPr>
        <w:t>（磋商项目名称）的竞争性磋商文件，经详细研究，决定参加该项目的磋商。</w:t>
      </w:r>
    </w:p>
    <w:p w14:paraId="48540784">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1.愿意按照竞争性磋商文件中的一切要求，提供本项目的服务，初始报价为人民币大写：</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u w:val="single"/>
          <w:lang w:val="en-US" w:eastAsia="zh-CN"/>
        </w:rPr>
        <w:t xml:space="preserve">          </w:t>
      </w:r>
      <w:r>
        <w:rPr>
          <w:rFonts w:hint="eastAsia" w:ascii="方正仿宋_GBK" w:hAnsi="宋体" w:eastAsia="方正仿宋_GBK"/>
          <w:color w:val="auto"/>
          <w:sz w:val="24"/>
          <w:szCs w:val="24"/>
          <w:highlight w:val="none"/>
        </w:rPr>
        <w:t>；人民币小写：</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元。以我公司最后报价为准。</w:t>
      </w:r>
    </w:p>
    <w:p w14:paraId="32299338">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2.我方现提交的响应文件为：响应文件正本</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份，副本</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份，电子文档</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u w:val="single"/>
          <w:lang w:val="en-US" w:eastAsia="zh-CN"/>
        </w:rPr>
        <w:t xml:space="preserve">  </w:t>
      </w:r>
      <w:r>
        <w:rPr>
          <w:rFonts w:hint="eastAsia" w:ascii="方正仿宋_GBK" w:hAnsi="宋体" w:eastAsia="方正仿宋_GBK"/>
          <w:color w:val="auto"/>
          <w:sz w:val="24"/>
          <w:szCs w:val="24"/>
          <w:highlight w:val="none"/>
          <w:u w:val="single"/>
        </w:rPr>
        <w:t xml:space="preserve"> </w:t>
      </w:r>
      <w:r>
        <w:rPr>
          <w:rFonts w:hint="eastAsia" w:ascii="方正仿宋_GBK" w:hAnsi="宋体" w:eastAsia="方正仿宋_GBK"/>
          <w:color w:val="auto"/>
          <w:sz w:val="24"/>
          <w:szCs w:val="24"/>
          <w:highlight w:val="none"/>
        </w:rPr>
        <w:t>份。</w:t>
      </w:r>
    </w:p>
    <w:p w14:paraId="299B4BCB">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3.我方承诺：本次磋商的有效期为提交响应文件截止时间起90天。</w:t>
      </w:r>
    </w:p>
    <w:p w14:paraId="27E61577">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4.我方完全理解和接受贵方竞争性磋商文件的一切规定和要求及评审办法。</w:t>
      </w:r>
    </w:p>
    <w:p w14:paraId="0E36281F">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5.在整个竞争性磋商过程中，我方若有违规行为，接受按照《中华人民共和国政府采购法》和《竞争性磋商文件》之规定给予惩罚。</w:t>
      </w:r>
    </w:p>
    <w:p w14:paraId="2E566045">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6.我方若成为成交供应商，将按照最终磋商结果签订合同，并且严格履行合同义务。本承诺函将成为合同不可分割的一部分，与合同具有同等的法律效力。</w:t>
      </w:r>
    </w:p>
    <w:p w14:paraId="6041DD1F">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7.如果我方成为成交供应商，保证在接到成交通知书后，向采购代理机构</w:t>
      </w:r>
      <w:r>
        <w:rPr>
          <w:rFonts w:hint="eastAsia" w:ascii="方正仿宋_GBK" w:hAnsi="宋体" w:eastAsia="方正仿宋_GBK"/>
          <w:color w:val="auto"/>
          <w:sz w:val="24"/>
          <w:highlight w:val="none"/>
        </w:rPr>
        <w:t>缴纳</w:t>
      </w:r>
      <w:r>
        <w:rPr>
          <w:rFonts w:hint="eastAsia" w:ascii="方正仿宋_GBK" w:hAnsi="宋体" w:eastAsia="方正仿宋_GBK"/>
          <w:color w:val="auto"/>
          <w:sz w:val="24"/>
          <w:szCs w:val="24"/>
          <w:highlight w:val="none"/>
        </w:rPr>
        <w:t>竞争性磋商文件规定的采购代理服务费。</w:t>
      </w:r>
    </w:p>
    <w:p w14:paraId="3B38A2BB">
      <w:pPr>
        <w:tabs>
          <w:tab w:val="left" w:pos="6300"/>
        </w:tabs>
        <w:snapToGrid w:val="0"/>
        <w:spacing w:line="312" w:lineRule="auto"/>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8.</w:t>
      </w:r>
      <w:r>
        <w:rPr>
          <w:rFonts w:hint="eastAsia" w:ascii="方正仿宋_GBK" w:hAnsi="宋体" w:eastAsia="方正仿宋_GBK"/>
          <w:color w:val="auto"/>
          <w:sz w:val="24"/>
          <w:szCs w:val="28"/>
          <w:highlight w:val="none"/>
        </w:rPr>
        <w:t>我方未</w:t>
      </w:r>
      <w:r>
        <w:rPr>
          <w:rFonts w:ascii="方正仿宋_GBK" w:hAnsi="宋体" w:eastAsia="方正仿宋_GBK"/>
          <w:color w:val="auto"/>
          <w:sz w:val="24"/>
          <w:szCs w:val="24"/>
          <w:highlight w:val="none"/>
        </w:rPr>
        <w:t>为采购项目提供整体设计、规范编制或者项目管理、监理、检测等服务。</w:t>
      </w:r>
    </w:p>
    <w:p w14:paraId="40860BDA">
      <w:pPr>
        <w:tabs>
          <w:tab w:val="left" w:pos="6300"/>
        </w:tabs>
        <w:snapToGrid w:val="0"/>
        <w:spacing w:line="312" w:lineRule="auto"/>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供应商（公章）或自然人签署：</w:t>
      </w:r>
    </w:p>
    <w:p w14:paraId="72301874">
      <w:pPr>
        <w:tabs>
          <w:tab w:val="left" w:pos="6300"/>
        </w:tabs>
        <w:snapToGrid w:val="0"/>
        <w:spacing w:line="312" w:lineRule="auto"/>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地址：  </w:t>
      </w:r>
    </w:p>
    <w:p w14:paraId="2769CF6A">
      <w:pPr>
        <w:tabs>
          <w:tab w:val="left" w:pos="6300"/>
        </w:tabs>
        <w:snapToGrid w:val="0"/>
        <w:spacing w:line="312" w:lineRule="auto"/>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电话：                                             传真：</w:t>
      </w:r>
    </w:p>
    <w:p w14:paraId="7D9D771C">
      <w:pPr>
        <w:tabs>
          <w:tab w:val="left" w:pos="6300"/>
        </w:tabs>
        <w:snapToGrid w:val="0"/>
        <w:spacing w:line="312" w:lineRule="auto"/>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网址：                                             邮编：</w:t>
      </w:r>
    </w:p>
    <w:p w14:paraId="42AFFBE7">
      <w:pPr>
        <w:tabs>
          <w:tab w:val="left" w:pos="6300"/>
        </w:tabs>
        <w:snapToGrid w:val="0"/>
        <w:spacing w:line="312" w:lineRule="auto"/>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联系人：</w:t>
      </w:r>
    </w:p>
    <w:p w14:paraId="076984C9">
      <w:pPr>
        <w:snapToGrid w:val="0"/>
        <w:spacing w:line="312" w:lineRule="auto"/>
        <w:ind w:firstLine="480" w:firstLineChars="200"/>
        <w:rPr>
          <w:rFonts w:hint="eastAsia" w:ascii="方正仿宋_GBK" w:hAnsi="宋体" w:eastAsia="方正仿宋_GBK"/>
          <w:color w:val="auto"/>
          <w:sz w:val="24"/>
          <w:szCs w:val="24"/>
          <w:highlight w:val="none"/>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color w:val="auto"/>
          <w:sz w:val="24"/>
          <w:szCs w:val="24"/>
          <w:highlight w:val="none"/>
        </w:rPr>
        <w:t xml:space="preserve">                                                  年   月   日</w:t>
      </w:r>
    </w:p>
    <w:p w14:paraId="62E643FF">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bookmarkStart w:id="158" w:name="_Toc313008357"/>
      <w:bookmarkStart w:id="159" w:name="_Toc76462351"/>
      <w:bookmarkStart w:id="160" w:name="_Toc313888361"/>
      <w:bookmarkStart w:id="161" w:name="_Toc106030907"/>
      <w:bookmarkStart w:id="162" w:name="_Toc342913420"/>
      <w:bookmarkStart w:id="163" w:name="_Toc2632"/>
      <w:r>
        <w:rPr>
          <w:rFonts w:hint="eastAsia" w:ascii="方正仿宋_GBK" w:hAnsi="宋体" w:eastAsia="方正仿宋_GBK"/>
          <w:color w:val="auto"/>
          <w:sz w:val="24"/>
          <w:highlight w:val="none"/>
        </w:rPr>
        <w:t>二、服务部分</w:t>
      </w:r>
      <w:bookmarkEnd w:id="158"/>
      <w:bookmarkEnd w:id="159"/>
      <w:bookmarkEnd w:id="160"/>
      <w:bookmarkEnd w:id="161"/>
      <w:bookmarkEnd w:id="162"/>
      <w:bookmarkEnd w:id="163"/>
    </w:p>
    <w:p w14:paraId="60D0755D">
      <w:pPr>
        <w:tabs>
          <w:tab w:val="left" w:pos="6300"/>
        </w:tabs>
        <w:snapToGrid w:val="0"/>
        <w:spacing w:line="400" w:lineRule="exact"/>
        <w:ind w:firstLine="480" w:firstLineChars="200"/>
        <w:rPr>
          <w:rFonts w:hint="eastAsia" w:ascii="方正仿宋_GBK" w:hAnsi="宋体" w:eastAsia="方正仿宋_GBK"/>
          <w:color w:val="auto"/>
          <w:szCs w:val="24"/>
          <w:highlight w:val="none"/>
        </w:rPr>
      </w:pPr>
      <w:r>
        <w:rPr>
          <w:rFonts w:hint="eastAsia" w:ascii="方正仿宋_GBK" w:hAnsi="宋体" w:eastAsia="方正仿宋_GBK"/>
          <w:color w:val="auto"/>
          <w:sz w:val="24"/>
          <w:szCs w:val="24"/>
          <w:highlight w:val="none"/>
        </w:rPr>
        <w:t>（一）服务方案（格式自定）</w:t>
      </w:r>
    </w:p>
    <w:p w14:paraId="20E4DA18">
      <w:pPr>
        <w:tabs>
          <w:tab w:val="left" w:pos="6300"/>
        </w:tabs>
        <w:snapToGrid w:val="0"/>
        <w:spacing w:line="400" w:lineRule="exact"/>
        <w:ind w:firstLine="480" w:firstLineChars="200"/>
        <w:rPr>
          <w:rFonts w:hint="eastAsia" w:ascii="方正仿宋_GBK" w:hAnsi="宋体" w:eastAsia="方正仿宋_GBK"/>
          <w:color w:val="auto"/>
          <w:szCs w:val="24"/>
          <w:highlight w:val="none"/>
        </w:rPr>
      </w:pPr>
      <w:r>
        <w:rPr>
          <w:rFonts w:hint="eastAsia" w:ascii="方正仿宋_GBK" w:hAnsi="宋体" w:eastAsia="方正仿宋_GBK"/>
          <w:color w:val="auto"/>
          <w:sz w:val="24"/>
          <w:szCs w:val="24"/>
          <w:highlight w:val="none"/>
        </w:rPr>
        <w:br w:type="page"/>
      </w: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二</w:t>
      </w:r>
      <w:r>
        <w:rPr>
          <w:rFonts w:hint="eastAsia" w:ascii="方正仿宋_GBK" w:hAnsi="宋体" w:eastAsia="方正仿宋_GBK"/>
          <w:color w:val="auto"/>
          <w:sz w:val="24"/>
          <w:szCs w:val="24"/>
          <w:highlight w:val="none"/>
        </w:rPr>
        <w:t>）服务响应偏离表</w:t>
      </w:r>
    </w:p>
    <w:p w14:paraId="49B5E431">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项目号：                                </w:t>
      </w:r>
    </w:p>
    <w:p w14:paraId="51A08CC3">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磋商项目名称：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115F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14:paraId="05CF2B2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序号</w:t>
            </w:r>
          </w:p>
        </w:tc>
        <w:tc>
          <w:tcPr>
            <w:tcW w:w="1541" w:type="pct"/>
            <w:noWrap w:val="0"/>
            <w:vAlign w:val="center"/>
          </w:tcPr>
          <w:p w14:paraId="023DE410">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采购需求</w:t>
            </w:r>
          </w:p>
        </w:tc>
        <w:tc>
          <w:tcPr>
            <w:tcW w:w="1600" w:type="pct"/>
            <w:noWrap w:val="0"/>
            <w:vAlign w:val="center"/>
          </w:tcPr>
          <w:p w14:paraId="3510534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响应情况</w:t>
            </w:r>
          </w:p>
        </w:tc>
        <w:tc>
          <w:tcPr>
            <w:tcW w:w="1199" w:type="pct"/>
            <w:noWrap w:val="0"/>
            <w:vAlign w:val="center"/>
          </w:tcPr>
          <w:p w14:paraId="0FD12D3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r>
              <w:rPr>
                <w:rFonts w:hint="eastAsia" w:ascii="方正仿宋_GBK" w:hAnsi="宋体" w:eastAsia="方正仿宋_GBK"/>
                <w:color w:val="auto"/>
                <w:sz w:val="21"/>
                <w:szCs w:val="21"/>
                <w:highlight w:val="none"/>
              </w:rPr>
              <w:t>差异说明</w:t>
            </w:r>
          </w:p>
        </w:tc>
      </w:tr>
      <w:tr w14:paraId="6999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4BDAC16F">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427E0989">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2344216B">
            <w:pPr>
              <w:tabs>
                <w:tab w:val="left" w:pos="6300"/>
              </w:tabs>
              <w:snapToGrid w:val="0"/>
              <w:spacing w:line="500" w:lineRule="exact"/>
              <w:outlineLvl w:val="0"/>
              <w:rPr>
                <w:rFonts w:hint="eastAsia" w:ascii="方正仿宋_GBK" w:hAnsi="宋体" w:eastAsia="方正仿宋_GBK"/>
                <w:color w:val="auto"/>
                <w:sz w:val="21"/>
                <w:szCs w:val="21"/>
                <w:highlight w:val="none"/>
              </w:rPr>
            </w:pPr>
            <w:r>
              <w:rPr>
                <w:rFonts w:ascii="方正仿宋_GBK" w:hAnsi="仿宋" w:eastAsia="方正仿宋_GBK"/>
                <w:color w:val="auto"/>
                <w:sz w:val="21"/>
                <w:szCs w:val="21"/>
                <w:highlight w:val="none"/>
              </w:rPr>
              <w:t>提醒</w:t>
            </w:r>
            <w:r>
              <w:rPr>
                <w:rFonts w:hint="eastAsia" w:ascii="方正仿宋_GBK" w:hAnsi="仿宋" w:eastAsia="方正仿宋_GBK"/>
                <w:color w:val="auto"/>
                <w:sz w:val="21"/>
                <w:szCs w:val="21"/>
                <w:highlight w:val="none"/>
              </w:rPr>
              <w:t>：</w:t>
            </w:r>
            <w:r>
              <w:rPr>
                <w:rFonts w:ascii="方正仿宋_GBK" w:hAnsi="仿宋" w:eastAsia="方正仿宋_GBK"/>
                <w:color w:val="auto"/>
                <w:sz w:val="21"/>
                <w:szCs w:val="21"/>
                <w:highlight w:val="none"/>
              </w:rPr>
              <w:t>请注明</w:t>
            </w:r>
            <w:r>
              <w:rPr>
                <w:rFonts w:hint="eastAsia" w:ascii="方正仿宋_GBK" w:hAnsi="仿宋" w:eastAsia="方正仿宋_GBK"/>
                <w:color w:val="auto"/>
                <w:sz w:val="21"/>
                <w:szCs w:val="21"/>
                <w:highlight w:val="none"/>
              </w:rPr>
              <w:t>技术参数</w:t>
            </w:r>
            <w:r>
              <w:rPr>
                <w:rFonts w:ascii="方正仿宋_GBK" w:hAnsi="仿宋" w:eastAsia="方正仿宋_GBK"/>
                <w:color w:val="auto"/>
                <w:sz w:val="21"/>
                <w:szCs w:val="21"/>
                <w:highlight w:val="none"/>
              </w:rPr>
              <w:t>或具体内容以及</w:t>
            </w:r>
            <w:r>
              <w:rPr>
                <w:rFonts w:hint="eastAsia" w:ascii="方正仿宋_GBK" w:hAnsi="仿宋" w:eastAsia="方正仿宋_GBK"/>
                <w:color w:val="auto"/>
                <w:sz w:val="21"/>
                <w:szCs w:val="21"/>
                <w:highlight w:val="none"/>
              </w:rPr>
              <w:t>响应文件</w:t>
            </w:r>
            <w:r>
              <w:rPr>
                <w:rFonts w:ascii="方正仿宋_GBK" w:hAnsi="仿宋" w:eastAsia="方正仿宋_GBK"/>
                <w:color w:val="auto"/>
                <w:sz w:val="21"/>
                <w:szCs w:val="21"/>
                <w:highlight w:val="none"/>
              </w:rPr>
              <w:t>中</w:t>
            </w:r>
            <w:r>
              <w:rPr>
                <w:rFonts w:hint="eastAsia" w:ascii="方正仿宋_GBK" w:hAnsi="仿宋" w:eastAsia="方正仿宋_GBK"/>
                <w:color w:val="auto"/>
                <w:sz w:val="21"/>
                <w:szCs w:val="21"/>
                <w:highlight w:val="none"/>
              </w:rPr>
              <w:t>技术参数</w:t>
            </w:r>
            <w:r>
              <w:rPr>
                <w:rFonts w:ascii="方正仿宋_GBK" w:hAnsi="仿宋" w:eastAsia="方正仿宋_GBK"/>
                <w:color w:val="auto"/>
                <w:sz w:val="21"/>
                <w:szCs w:val="21"/>
                <w:highlight w:val="none"/>
              </w:rPr>
              <w:t>或</w:t>
            </w:r>
            <w:r>
              <w:rPr>
                <w:rFonts w:hint="eastAsia" w:ascii="方正仿宋_GBK" w:hAnsi="仿宋" w:eastAsia="方正仿宋_GBK"/>
                <w:color w:val="auto"/>
                <w:sz w:val="21"/>
                <w:szCs w:val="21"/>
                <w:highlight w:val="none"/>
              </w:rPr>
              <w:t>具体</w:t>
            </w:r>
            <w:r>
              <w:rPr>
                <w:rFonts w:ascii="方正仿宋_GBK" w:hAnsi="仿宋" w:eastAsia="方正仿宋_GBK"/>
                <w:color w:val="auto"/>
                <w:sz w:val="21"/>
                <w:szCs w:val="21"/>
                <w:highlight w:val="none"/>
              </w:rPr>
              <w:t>内容</w:t>
            </w:r>
            <w:r>
              <w:rPr>
                <w:rFonts w:hint="eastAsia" w:ascii="方正仿宋_GBK" w:hAnsi="仿宋" w:eastAsia="方正仿宋_GBK"/>
                <w:color w:val="auto"/>
                <w:sz w:val="21"/>
                <w:szCs w:val="21"/>
                <w:highlight w:val="none"/>
              </w:rPr>
              <w:t>的</w:t>
            </w:r>
            <w:r>
              <w:rPr>
                <w:rFonts w:ascii="方正仿宋_GBK" w:hAnsi="仿宋" w:eastAsia="方正仿宋_GBK"/>
                <w:color w:val="auto"/>
                <w:sz w:val="21"/>
                <w:szCs w:val="21"/>
                <w:highlight w:val="none"/>
              </w:rPr>
              <w:t>位置（</w:t>
            </w:r>
            <w:r>
              <w:rPr>
                <w:rFonts w:hint="eastAsia" w:ascii="方正仿宋_GBK" w:hAnsi="仿宋" w:eastAsia="方正仿宋_GBK"/>
                <w:color w:val="auto"/>
                <w:sz w:val="21"/>
                <w:szCs w:val="21"/>
                <w:highlight w:val="none"/>
              </w:rPr>
              <w:t>页码</w:t>
            </w:r>
            <w:r>
              <w:rPr>
                <w:rFonts w:ascii="方正仿宋_GBK" w:hAnsi="仿宋" w:eastAsia="方正仿宋_GBK"/>
                <w:color w:val="auto"/>
                <w:sz w:val="21"/>
                <w:szCs w:val="21"/>
                <w:highlight w:val="none"/>
              </w:rPr>
              <w:t>）</w:t>
            </w:r>
          </w:p>
        </w:tc>
        <w:tc>
          <w:tcPr>
            <w:tcW w:w="1199" w:type="pct"/>
            <w:noWrap w:val="0"/>
            <w:vAlign w:val="center"/>
          </w:tcPr>
          <w:p w14:paraId="403F167B">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09A5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1B40F96">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499B170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124E0597">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4B3B7E97">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55B5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28B72D7">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0D87357B">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2908C1F2">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7124CF5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782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8DD5E0D">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2EB0A86F">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3C7551FC">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283FC087">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7B22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EC4072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1629DB0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5E0A52E6">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61C9423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41A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C930226">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380F5A3C">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08E48E00">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518F542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151E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4AEED85B">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42CC57DA">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7E293ED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0C28C225">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1088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5180515">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20CFA960">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1C0FE6C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443FF1E5">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079E9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5B2ADFC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5DB8DD5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28E45523">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55435408">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r w14:paraId="1DFC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2CEAA5E">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541" w:type="pct"/>
            <w:noWrap w:val="0"/>
            <w:vAlign w:val="center"/>
          </w:tcPr>
          <w:p w14:paraId="6999C776">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600" w:type="pct"/>
            <w:noWrap w:val="0"/>
            <w:vAlign w:val="center"/>
          </w:tcPr>
          <w:p w14:paraId="02B2DAA1">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c>
          <w:tcPr>
            <w:tcW w:w="1199" w:type="pct"/>
            <w:noWrap w:val="0"/>
            <w:vAlign w:val="center"/>
          </w:tcPr>
          <w:p w14:paraId="00225DF7">
            <w:pPr>
              <w:tabs>
                <w:tab w:val="left" w:pos="6300"/>
              </w:tabs>
              <w:snapToGrid w:val="0"/>
              <w:spacing w:line="500" w:lineRule="exact"/>
              <w:jc w:val="center"/>
              <w:outlineLvl w:val="0"/>
              <w:rPr>
                <w:rFonts w:hint="eastAsia" w:ascii="方正仿宋_GBK" w:hAnsi="宋体" w:eastAsia="方正仿宋_GBK"/>
                <w:color w:val="auto"/>
                <w:sz w:val="21"/>
                <w:szCs w:val="21"/>
                <w:highlight w:val="none"/>
              </w:rPr>
            </w:pPr>
          </w:p>
        </w:tc>
      </w:tr>
    </w:tbl>
    <w:p w14:paraId="202471BE">
      <w:pPr>
        <w:spacing w:line="500" w:lineRule="exact"/>
        <w:ind w:firstLine="600" w:firstLineChars="250"/>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 xml:space="preserve">供应商：                            </w:t>
      </w:r>
      <w:r>
        <w:rPr>
          <w:rFonts w:hint="eastAsia" w:ascii="方正仿宋_GBK" w:hAnsi="宋体" w:eastAsia="方正仿宋_GBK"/>
          <w:color w:val="auto"/>
          <w:sz w:val="24"/>
          <w:szCs w:val="24"/>
          <w:highlight w:val="none"/>
        </w:rPr>
        <w:t>法定代表人（或其授权代表）或自然人：</w:t>
      </w:r>
    </w:p>
    <w:p w14:paraId="7810E928">
      <w:pPr>
        <w:spacing w:line="500" w:lineRule="exact"/>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 xml:space="preserve">    </w:t>
      </w:r>
    </w:p>
    <w:p w14:paraId="68D73A01">
      <w:pPr>
        <w:spacing w:line="500" w:lineRule="exact"/>
        <w:ind w:firstLine="720" w:firstLineChars="300"/>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（供应商公章）                               （签署或盖章）</w:t>
      </w:r>
    </w:p>
    <w:p w14:paraId="51872C03">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szCs w:val="28"/>
          <w:highlight w:val="none"/>
        </w:rPr>
        <w:t xml:space="preserve">                                              年     月     日</w:t>
      </w:r>
    </w:p>
    <w:p w14:paraId="0699299C">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注：</w:t>
      </w:r>
    </w:p>
    <w:p w14:paraId="1E513A2A">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szCs w:val="24"/>
          <w:highlight w:val="none"/>
        </w:rPr>
        <w:t>1</w:t>
      </w:r>
      <w:r>
        <w:rPr>
          <w:rFonts w:hint="eastAsia" w:ascii="方正仿宋_GBK" w:hAnsi="宋体" w:eastAsia="方正仿宋_GBK"/>
          <w:color w:val="auto"/>
          <w:sz w:val="24"/>
          <w:highlight w:val="none"/>
        </w:rPr>
        <w:t>.</w:t>
      </w:r>
      <w:r>
        <w:rPr>
          <w:rFonts w:hint="eastAsia" w:ascii="方正仿宋_GBK" w:hAnsi="仿宋" w:eastAsia="方正仿宋_GBK"/>
          <w:color w:val="auto"/>
          <w:sz w:val="24"/>
          <w:szCs w:val="24"/>
          <w:highlight w:val="none"/>
        </w:rPr>
        <w:t>本表即为对本项目“第二篇  项目服务需求”中所列条款进行比较和响应；</w:t>
      </w:r>
    </w:p>
    <w:p w14:paraId="3E0C0921">
      <w:pPr>
        <w:snapToGrid w:val="0"/>
        <w:spacing w:line="400" w:lineRule="exact"/>
        <w:ind w:firstLine="480" w:firstLineChars="200"/>
        <w:jc w:val="left"/>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highlight w:val="none"/>
        </w:rPr>
        <w:t>2.本表可扩展。</w:t>
      </w:r>
    </w:p>
    <w:p w14:paraId="3A732A85">
      <w:pPr>
        <w:pStyle w:val="3"/>
        <w:adjustRightInd w:val="0"/>
        <w:snapToGrid w:val="0"/>
        <w:spacing w:before="0" w:after="0" w:line="400" w:lineRule="exact"/>
        <w:ind w:firstLine="643" w:firstLineChars="200"/>
        <w:rPr>
          <w:rFonts w:hint="eastAsia" w:ascii="方正仿宋_GBK" w:hAnsi="宋体" w:eastAsia="方正仿宋_GBK"/>
          <w:color w:val="auto"/>
          <w:sz w:val="24"/>
          <w:highlight w:val="none"/>
        </w:rPr>
      </w:pPr>
      <w:r>
        <w:rPr>
          <w:rFonts w:ascii="方正仿宋_GBK" w:hAnsi="宋体" w:eastAsia="方正仿宋_GBK"/>
          <w:color w:val="auto"/>
          <w:szCs w:val="24"/>
          <w:highlight w:val="none"/>
        </w:rPr>
        <w:br w:type="page"/>
      </w:r>
      <w:bookmarkStart w:id="164" w:name="_Toc313008358"/>
      <w:bookmarkStart w:id="165" w:name="_Toc8213"/>
      <w:bookmarkStart w:id="166" w:name="_Toc106030908"/>
      <w:bookmarkStart w:id="167" w:name="_Toc342913421"/>
      <w:bookmarkStart w:id="168" w:name="_Toc76462352"/>
      <w:bookmarkStart w:id="169" w:name="_Toc313888362"/>
      <w:r>
        <w:rPr>
          <w:rFonts w:hint="eastAsia" w:ascii="方正仿宋_GBK" w:hAnsi="宋体" w:eastAsia="方正仿宋_GBK"/>
          <w:color w:val="auto"/>
          <w:sz w:val="24"/>
          <w:highlight w:val="none"/>
        </w:rPr>
        <w:t>三、商务部分</w:t>
      </w:r>
      <w:bookmarkEnd w:id="164"/>
      <w:bookmarkEnd w:id="165"/>
      <w:bookmarkEnd w:id="166"/>
      <w:bookmarkEnd w:id="167"/>
      <w:bookmarkEnd w:id="168"/>
      <w:bookmarkEnd w:id="169"/>
    </w:p>
    <w:p w14:paraId="2ADDD3EB">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（一）商务响应偏离表</w:t>
      </w:r>
    </w:p>
    <w:p w14:paraId="6AEAD2A3">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项目号：                                </w:t>
      </w:r>
    </w:p>
    <w:p w14:paraId="736F064B">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 xml:space="preserve">磋商项目名称：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14:paraId="6BFE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14:paraId="4C7B0DA0">
            <w:pPr>
              <w:snapToGrid w:val="0"/>
              <w:spacing w:line="360" w:lineRule="auto"/>
              <w:ind w:firstLine="465"/>
              <w:rPr>
                <w:rFonts w:hint="eastAsia"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序号</w:t>
            </w:r>
          </w:p>
        </w:tc>
        <w:tc>
          <w:tcPr>
            <w:tcW w:w="3179" w:type="dxa"/>
            <w:noWrap w:val="0"/>
            <w:vAlign w:val="center"/>
          </w:tcPr>
          <w:p w14:paraId="513F7F25">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磋商项目商务需求</w:t>
            </w:r>
          </w:p>
        </w:tc>
        <w:tc>
          <w:tcPr>
            <w:tcW w:w="2434" w:type="dxa"/>
            <w:noWrap w:val="0"/>
            <w:vAlign w:val="center"/>
          </w:tcPr>
          <w:p w14:paraId="402A8560">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响应情况</w:t>
            </w:r>
          </w:p>
        </w:tc>
        <w:tc>
          <w:tcPr>
            <w:tcW w:w="2355" w:type="dxa"/>
            <w:noWrap w:val="0"/>
            <w:vAlign w:val="center"/>
          </w:tcPr>
          <w:p w14:paraId="48515A80">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r>
              <w:rPr>
                <w:rFonts w:hint="eastAsia" w:ascii="方正仿宋_GBK" w:hAnsi="宋体" w:eastAsia="方正仿宋_GBK"/>
                <w:color w:val="auto"/>
                <w:sz w:val="21"/>
                <w:szCs w:val="24"/>
                <w:highlight w:val="none"/>
              </w:rPr>
              <w:t>偏离说明</w:t>
            </w:r>
          </w:p>
        </w:tc>
      </w:tr>
      <w:tr w14:paraId="0111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1553E16B">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78222B9B">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41E6EFE2">
            <w:pPr>
              <w:tabs>
                <w:tab w:val="left" w:pos="6300"/>
              </w:tabs>
              <w:snapToGrid w:val="0"/>
              <w:spacing w:line="360" w:lineRule="auto"/>
              <w:outlineLvl w:val="0"/>
              <w:rPr>
                <w:rFonts w:hint="eastAsia" w:ascii="方正仿宋_GBK" w:hAnsi="宋体" w:eastAsia="方正仿宋_GBK"/>
                <w:color w:val="auto"/>
                <w:sz w:val="21"/>
                <w:szCs w:val="24"/>
                <w:highlight w:val="none"/>
              </w:rPr>
            </w:pPr>
            <w:r>
              <w:rPr>
                <w:rFonts w:ascii="方正仿宋_GBK" w:hAnsi="仿宋" w:eastAsia="方正仿宋_GBK"/>
                <w:color w:val="auto"/>
                <w:sz w:val="21"/>
                <w:szCs w:val="21"/>
                <w:highlight w:val="none"/>
              </w:rPr>
              <w:t>提醒</w:t>
            </w:r>
            <w:r>
              <w:rPr>
                <w:rFonts w:hint="eastAsia" w:ascii="方正仿宋_GBK" w:hAnsi="仿宋" w:eastAsia="方正仿宋_GBK"/>
                <w:color w:val="auto"/>
                <w:sz w:val="21"/>
                <w:szCs w:val="21"/>
                <w:highlight w:val="none"/>
              </w:rPr>
              <w:t>：</w:t>
            </w:r>
            <w:r>
              <w:rPr>
                <w:rFonts w:ascii="方正仿宋_GBK" w:hAnsi="仿宋" w:eastAsia="方正仿宋_GBK"/>
                <w:color w:val="auto"/>
                <w:sz w:val="21"/>
                <w:szCs w:val="21"/>
                <w:highlight w:val="none"/>
              </w:rPr>
              <w:t>请注明具体内容以及</w:t>
            </w:r>
            <w:r>
              <w:rPr>
                <w:rFonts w:hint="eastAsia" w:ascii="方正仿宋_GBK" w:hAnsi="仿宋" w:eastAsia="方正仿宋_GBK"/>
                <w:color w:val="auto"/>
                <w:sz w:val="21"/>
                <w:szCs w:val="21"/>
                <w:highlight w:val="none"/>
              </w:rPr>
              <w:t>响应文件</w:t>
            </w:r>
            <w:r>
              <w:rPr>
                <w:rFonts w:ascii="方正仿宋_GBK" w:hAnsi="仿宋" w:eastAsia="方正仿宋_GBK"/>
                <w:color w:val="auto"/>
                <w:sz w:val="21"/>
                <w:szCs w:val="21"/>
                <w:highlight w:val="none"/>
              </w:rPr>
              <w:t>中</w:t>
            </w:r>
            <w:r>
              <w:rPr>
                <w:rFonts w:hint="eastAsia" w:ascii="方正仿宋_GBK" w:hAnsi="仿宋" w:eastAsia="方正仿宋_GBK"/>
                <w:color w:val="auto"/>
                <w:sz w:val="21"/>
                <w:szCs w:val="21"/>
                <w:highlight w:val="none"/>
              </w:rPr>
              <w:t>具体</w:t>
            </w:r>
            <w:r>
              <w:rPr>
                <w:rFonts w:ascii="方正仿宋_GBK" w:hAnsi="仿宋" w:eastAsia="方正仿宋_GBK"/>
                <w:color w:val="auto"/>
                <w:sz w:val="21"/>
                <w:szCs w:val="21"/>
                <w:highlight w:val="none"/>
              </w:rPr>
              <w:t>内容</w:t>
            </w:r>
            <w:r>
              <w:rPr>
                <w:rFonts w:hint="eastAsia" w:ascii="方正仿宋_GBK" w:hAnsi="仿宋" w:eastAsia="方正仿宋_GBK"/>
                <w:color w:val="auto"/>
                <w:sz w:val="21"/>
                <w:szCs w:val="21"/>
                <w:highlight w:val="none"/>
              </w:rPr>
              <w:t>的</w:t>
            </w:r>
            <w:r>
              <w:rPr>
                <w:rFonts w:ascii="方正仿宋_GBK" w:hAnsi="仿宋" w:eastAsia="方正仿宋_GBK"/>
                <w:color w:val="auto"/>
                <w:sz w:val="21"/>
                <w:szCs w:val="21"/>
                <w:highlight w:val="none"/>
              </w:rPr>
              <w:t>位置（</w:t>
            </w:r>
            <w:r>
              <w:rPr>
                <w:rFonts w:hint="eastAsia" w:ascii="方正仿宋_GBK" w:hAnsi="仿宋" w:eastAsia="方正仿宋_GBK"/>
                <w:color w:val="auto"/>
                <w:sz w:val="21"/>
                <w:szCs w:val="21"/>
                <w:highlight w:val="none"/>
              </w:rPr>
              <w:t>页码</w:t>
            </w:r>
            <w:r>
              <w:rPr>
                <w:rFonts w:ascii="方正仿宋_GBK" w:hAnsi="仿宋" w:eastAsia="方正仿宋_GBK"/>
                <w:color w:val="auto"/>
                <w:sz w:val="21"/>
                <w:szCs w:val="21"/>
                <w:highlight w:val="none"/>
              </w:rPr>
              <w:t>）</w:t>
            </w:r>
          </w:p>
        </w:tc>
        <w:tc>
          <w:tcPr>
            <w:tcW w:w="2355" w:type="dxa"/>
            <w:noWrap w:val="0"/>
            <w:vAlign w:val="center"/>
          </w:tcPr>
          <w:p w14:paraId="15768BD8">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r w14:paraId="6F06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191172EB">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350DC30F">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2C294C4F">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355" w:type="dxa"/>
            <w:noWrap w:val="0"/>
            <w:vAlign w:val="center"/>
          </w:tcPr>
          <w:p w14:paraId="004A93A5">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r w14:paraId="0779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2BA60A45">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70592B26">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3D4741DE">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355" w:type="dxa"/>
            <w:noWrap w:val="0"/>
            <w:vAlign w:val="center"/>
          </w:tcPr>
          <w:p w14:paraId="08CAA3F4">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r w14:paraId="28A5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2AD00B6C">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61BDE611">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3486CAB5">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355" w:type="dxa"/>
            <w:noWrap w:val="0"/>
            <w:vAlign w:val="center"/>
          </w:tcPr>
          <w:p w14:paraId="4769E3C7">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r w14:paraId="740B5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42446BE1">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2BDC835B">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338C91EB">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355" w:type="dxa"/>
            <w:noWrap w:val="0"/>
            <w:vAlign w:val="center"/>
          </w:tcPr>
          <w:p w14:paraId="57D8D378">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r w14:paraId="5AD6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14:paraId="1DB2ADD6">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3179" w:type="dxa"/>
            <w:noWrap w:val="0"/>
            <w:vAlign w:val="center"/>
          </w:tcPr>
          <w:p w14:paraId="2303EFD0">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434" w:type="dxa"/>
            <w:noWrap w:val="0"/>
            <w:vAlign w:val="center"/>
          </w:tcPr>
          <w:p w14:paraId="46A436C3">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c>
          <w:tcPr>
            <w:tcW w:w="2355" w:type="dxa"/>
            <w:noWrap w:val="0"/>
            <w:vAlign w:val="center"/>
          </w:tcPr>
          <w:p w14:paraId="16CC41E6">
            <w:pPr>
              <w:tabs>
                <w:tab w:val="left" w:pos="6300"/>
              </w:tabs>
              <w:snapToGrid w:val="0"/>
              <w:spacing w:line="360" w:lineRule="auto"/>
              <w:jc w:val="center"/>
              <w:outlineLvl w:val="0"/>
              <w:rPr>
                <w:rFonts w:hint="eastAsia" w:ascii="方正仿宋_GBK" w:hAnsi="宋体" w:eastAsia="方正仿宋_GBK"/>
                <w:color w:val="auto"/>
                <w:sz w:val="21"/>
                <w:szCs w:val="24"/>
                <w:highlight w:val="none"/>
              </w:rPr>
            </w:pPr>
          </w:p>
        </w:tc>
      </w:tr>
    </w:tbl>
    <w:p w14:paraId="7B53140B">
      <w:pPr>
        <w:snapToGrid w:val="0"/>
        <w:spacing w:line="360" w:lineRule="auto"/>
        <w:ind w:firstLine="465"/>
        <w:rPr>
          <w:rFonts w:hint="eastAsia" w:ascii="方正仿宋_GBK" w:hAnsi="宋体" w:eastAsia="方正仿宋_GBK"/>
          <w:color w:val="auto"/>
          <w:sz w:val="24"/>
          <w:szCs w:val="24"/>
          <w:highlight w:val="none"/>
        </w:rPr>
      </w:pPr>
    </w:p>
    <w:p w14:paraId="544CDD1A">
      <w:pPr>
        <w:spacing w:line="500" w:lineRule="exact"/>
        <w:ind w:firstLine="600" w:firstLineChars="250"/>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 xml:space="preserve">供应商：                          </w:t>
      </w:r>
      <w:r>
        <w:rPr>
          <w:rFonts w:hint="eastAsia" w:ascii="方正仿宋_GBK" w:hAnsi="宋体" w:eastAsia="方正仿宋_GBK"/>
          <w:color w:val="auto"/>
          <w:sz w:val="24"/>
          <w:szCs w:val="24"/>
          <w:highlight w:val="none"/>
        </w:rPr>
        <w:t>法定代表人（或其授权代表）或自然人：</w:t>
      </w:r>
    </w:p>
    <w:p w14:paraId="7E2462B5">
      <w:pPr>
        <w:spacing w:line="500" w:lineRule="exact"/>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 xml:space="preserve">    </w:t>
      </w:r>
    </w:p>
    <w:p w14:paraId="35DFA182">
      <w:pPr>
        <w:spacing w:line="500" w:lineRule="exact"/>
        <w:ind w:firstLine="360" w:firstLineChars="150"/>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（供应商公章）                                 （签署或盖章）</w:t>
      </w:r>
    </w:p>
    <w:p w14:paraId="6DE63147">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szCs w:val="28"/>
          <w:highlight w:val="none"/>
        </w:rPr>
        <w:t xml:space="preserve">                                            年     月     日</w:t>
      </w:r>
    </w:p>
    <w:p w14:paraId="2ECA2154">
      <w:pPr>
        <w:tabs>
          <w:tab w:val="left" w:pos="6300"/>
        </w:tabs>
        <w:snapToGrid w:val="0"/>
        <w:spacing w:line="4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注：</w:t>
      </w:r>
    </w:p>
    <w:p w14:paraId="3A1B13C9">
      <w:pPr>
        <w:tabs>
          <w:tab w:val="left" w:pos="6300"/>
        </w:tabs>
        <w:snapToGrid w:val="0"/>
        <w:spacing w:line="4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szCs w:val="24"/>
          <w:highlight w:val="none"/>
        </w:rPr>
        <w:t>1</w:t>
      </w:r>
      <w:r>
        <w:rPr>
          <w:rFonts w:hint="eastAsia" w:ascii="方正仿宋_GBK" w:hAnsi="宋体" w:eastAsia="方正仿宋_GBK"/>
          <w:color w:val="auto"/>
          <w:sz w:val="24"/>
          <w:highlight w:val="none"/>
        </w:rPr>
        <w:t>.</w:t>
      </w:r>
      <w:r>
        <w:rPr>
          <w:rFonts w:hint="eastAsia" w:ascii="方正仿宋_GBK" w:hAnsi="仿宋" w:eastAsia="方正仿宋_GBK"/>
          <w:color w:val="auto"/>
          <w:sz w:val="24"/>
          <w:szCs w:val="24"/>
          <w:highlight w:val="none"/>
        </w:rPr>
        <w:t>本表即为对本项目“第三篇  项目商务需求”中所列条款进行比较和响应；</w:t>
      </w:r>
    </w:p>
    <w:p w14:paraId="7F6B6E58">
      <w:pPr>
        <w:snapToGrid w:val="0"/>
        <w:spacing w:line="400" w:lineRule="exact"/>
        <w:ind w:firstLine="480" w:firstLineChars="200"/>
        <w:rPr>
          <w:rFonts w:hint="eastAsia" w:ascii="方正仿宋_GBK" w:eastAsia="方正仿宋_GBK"/>
          <w:b/>
          <w:color w:val="auto"/>
          <w:highlight w:val="none"/>
        </w:rPr>
        <w:sectPr>
          <w:headerReference r:id="rId12" w:type="default"/>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color w:val="auto"/>
          <w:sz w:val="24"/>
          <w:highlight w:val="none"/>
        </w:rPr>
        <w:t>2.本表可扩展。</w:t>
      </w:r>
    </w:p>
    <w:p w14:paraId="7257FA45">
      <w:pPr>
        <w:snapToGrid w:val="0"/>
        <w:spacing w:line="400" w:lineRule="exact"/>
        <w:ind w:firstLine="480" w:firstLineChars="200"/>
        <w:rPr>
          <w:rFonts w:hint="eastAsia" w:ascii="方正仿宋_GBK" w:hAnsi="宋体" w:eastAsia="方正仿宋_GBK"/>
          <w:color w:val="auto"/>
          <w:sz w:val="24"/>
          <w:szCs w:val="24"/>
          <w:highlight w:val="none"/>
        </w:rPr>
      </w:pPr>
      <w:bookmarkStart w:id="170" w:name="_Toc283382459"/>
      <w:r>
        <w:rPr>
          <w:rFonts w:hint="eastAsia" w:ascii="方正仿宋_GBK" w:hAnsi="宋体" w:eastAsia="方正仿宋_GBK"/>
          <w:color w:val="auto"/>
          <w:sz w:val="24"/>
          <w:szCs w:val="24"/>
          <w:highlight w:val="none"/>
        </w:rPr>
        <w:t>（二）其它优惠承诺（格式自定）</w:t>
      </w:r>
    </w:p>
    <w:p w14:paraId="3BAB510A">
      <w:pPr>
        <w:snapToGrid w:val="0"/>
        <w:spacing w:line="400" w:lineRule="exact"/>
        <w:ind w:firstLine="480" w:firstLineChars="200"/>
        <w:rPr>
          <w:rFonts w:hint="eastAsia" w:ascii="方正仿宋_GBK" w:hAnsi="宋体" w:eastAsia="方正仿宋_GBK"/>
          <w:color w:val="auto"/>
          <w:sz w:val="24"/>
          <w:szCs w:val="24"/>
          <w:highlight w:val="none"/>
        </w:rPr>
      </w:pPr>
    </w:p>
    <w:p w14:paraId="6C96D5E3">
      <w:pPr>
        <w:pStyle w:val="3"/>
        <w:adjustRightInd w:val="0"/>
        <w:snapToGrid w:val="0"/>
        <w:spacing w:before="0" w:after="0" w:line="400" w:lineRule="exact"/>
        <w:ind w:firstLine="482" w:firstLineChars="200"/>
        <w:rPr>
          <w:rFonts w:hint="eastAsia" w:ascii="方正仿宋_GBK" w:hAnsi="宋体" w:eastAsia="方正仿宋_GBK"/>
          <w:color w:val="auto"/>
          <w:sz w:val="24"/>
          <w:highlight w:val="none"/>
        </w:rPr>
      </w:pPr>
      <w:r>
        <w:rPr>
          <w:rFonts w:ascii="方正仿宋_GBK" w:hAnsi="宋体" w:eastAsia="方正仿宋_GBK"/>
          <w:color w:val="auto"/>
          <w:sz w:val="24"/>
          <w:szCs w:val="24"/>
          <w:highlight w:val="none"/>
        </w:rPr>
        <w:br w:type="page"/>
      </w:r>
      <w:bookmarkEnd w:id="170"/>
      <w:bookmarkStart w:id="171" w:name="_Toc342913422"/>
      <w:bookmarkStart w:id="172" w:name="_Toc76462353"/>
      <w:bookmarkStart w:id="173" w:name="_Toc8693"/>
      <w:bookmarkStart w:id="174" w:name="_Toc313008359"/>
      <w:bookmarkStart w:id="175" w:name="_Toc313888363"/>
      <w:bookmarkStart w:id="176" w:name="_Toc106030909"/>
      <w:r>
        <w:rPr>
          <w:rFonts w:hint="eastAsia" w:ascii="方正仿宋_GBK" w:hAnsi="宋体" w:eastAsia="方正仿宋_GBK"/>
          <w:color w:val="auto"/>
          <w:sz w:val="24"/>
          <w:highlight w:val="none"/>
        </w:rPr>
        <w:t>四、资格条件</w:t>
      </w:r>
      <w:bookmarkEnd w:id="171"/>
      <w:bookmarkEnd w:id="172"/>
      <w:bookmarkEnd w:id="173"/>
      <w:bookmarkEnd w:id="174"/>
      <w:bookmarkEnd w:id="175"/>
      <w:bookmarkEnd w:id="176"/>
    </w:p>
    <w:p w14:paraId="68A5ABC1">
      <w:pPr>
        <w:tabs>
          <w:tab w:val="left" w:pos="6300"/>
        </w:tabs>
        <w:snapToGrid w:val="0"/>
        <w:spacing w:line="400" w:lineRule="exact"/>
        <w:ind w:firstLine="57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（一）法人营业执照（副本）或事业单位法人证书（副本）或个体工商户营业执照或有效的自然人身份证明或社会团体法人登记证书复印件</w:t>
      </w:r>
    </w:p>
    <w:p w14:paraId="07DAB9A2">
      <w:pPr>
        <w:tabs>
          <w:tab w:val="left" w:pos="6300"/>
        </w:tabs>
        <w:snapToGrid w:val="0"/>
        <w:spacing w:line="400" w:lineRule="exact"/>
        <w:ind w:firstLine="570"/>
        <w:rPr>
          <w:rFonts w:hint="eastAsia" w:ascii="方正仿宋_GBK" w:hAnsi="宋体" w:eastAsia="方正仿宋_GBK"/>
          <w:color w:val="auto"/>
          <w:highlight w:val="none"/>
        </w:rPr>
      </w:pPr>
    </w:p>
    <w:p w14:paraId="4DFE2BFF">
      <w:pPr>
        <w:tabs>
          <w:tab w:val="left" w:pos="6300"/>
        </w:tabs>
        <w:snapToGrid w:val="0"/>
        <w:spacing w:line="500" w:lineRule="exact"/>
        <w:ind w:firstLine="570"/>
        <w:rPr>
          <w:rFonts w:hint="eastAsia" w:ascii="方正仿宋_GBK" w:hAnsi="宋体" w:eastAsia="方正仿宋_GBK"/>
          <w:color w:val="auto"/>
          <w:highlight w:val="none"/>
        </w:rPr>
      </w:pPr>
    </w:p>
    <w:p w14:paraId="2A337B28">
      <w:pPr>
        <w:tabs>
          <w:tab w:val="left" w:pos="6300"/>
        </w:tabs>
        <w:snapToGrid w:val="0"/>
        <w:spacing w:line="500" w:lineRule="exact"/>
        <w:ind w:firstLine="570"/>
        <w:rPr>
          <w:rFonts w:hint="eastAsia" w:ascii="方正仿宋_GBK" w:hAnsi="宋体" w:eastAsia="方正仿宋_GBK"/>
          <w:color w:val="auto"/>
          <w:highlight w:val="none"/>
        </w:rPr>
      </w:pPr>
    </w:p>
    <w:p w14:paraId="6566FB2F">
      <w:pPr>
        <w:tabs>
          <w:tab w:val="left" w:pos="6300"/>
        </w:tabs>
        <w:snapToGrid w:val="0"/>
        <w:spacing w:line="500" w:lineRule="exact"/>
        <w:ind w:firstLine="570"/>
        <w:rPr>
          <w:rFonts w:hint="eastAsia" w:ascii="方正仿宋_GBK" w:hAnsi="宋体" w:eastAsia="方正仿宋_GBK"/>
          <w:color w:val="auto"/>
          <w:highlight w:val="none"/>
        </w:rPr>
      </w:pPr>
    </w:p>
    <w:p w14:paraId="4D795F3D">
      <w:pPr>
        <w:tabs>
          <w:tab w:val="left" w:pos="6300"/>
        </w:tabs>
        <w:snapToGrid w:val="0"/>
        <w:spacing w:line="500" w:lineRule="exact"/>
        <w:ind w:firstLine="570"/>
        <w:rPr>
          <w:rFonts w:hint="eastAsia" w:ascii="方正仿宋_GBK" w:hAnsi="宋体" w:eastAsia="方正仿宋_GBK"/>
          <w:color w:val="auto"/>
          <w:highlight w:val="none"/>
        </w:rPr>
      </w:pPr>
    </w:p>
    <w:p w14:paraId="3DBDBD6E">
      <w:pPr>
        <w:snapToGrid w:val="0"/>
        <w:spacing w:line="400" w:lineRule="exact"/>
        <w:ind w:firstLine="560" w:firstLineChars="200"/>
        <w:rPr>
          <w:rFonts w:hint="eastAsia" w:ascii="方正仿宋_GBK" w:hAnsi="宋体" w:eastAsia="方正仿宋_GBK"/>
          <w:color w:val="auto"/>
          <w:sz w:val="24"/>
          <w:szCs w:val="24"/>
          <w:highlight w:val="none"/>
        </w:rPr>
      </w:pPr>
      <w:r>
        <w:rPr>
          <w:rFonts w:ascii="方正仿宋_GBK" w:hAnsi="宋体" w:eastAsia="方正仿宋_GBK"/>
          <w:color w:val="auto"/>
          <w:highlight w:val="none"/>
        </w:rPr>
        <w:br w:type="page"/>
      </w:r>
      <w:r>
        <w:rPr>
          <w:rFonts w:hint="eastAsia" w:ascii="方正仿宋_GBK" w:hAnsi="宋体" w:eastAsia="方正仿宋_GBK"/>
          <w:color w:val="auto"/>
          <w:sz w:val="24"/>
          <w:szCs w:val="24"/>
          <w:highlight w:val="none"/>
        </w:rPr>
        <w:t>（二）法定代表人身份证明书（格式）</w:t>
      </w:r>
    </w:p>
    <w:p w14:paraId="0EC267F8">
      <w:pPr>
        <w:tabs>
          <w:tab w:val="left" w:pos="6300"/>
        </w:tabs>
        <w:snapToGrid w:val="0"/>
        <w:spacing w:line="500" w:lineRule="exact"/>
        <w:ind w:firstLine="570"/>
        <w:rPr>
          <w:rFonts w:hint="eastAsia" w:ascii="方正仿宋_GBK" w:hAnsi="宋体" w:eastAsia="方正仿宋_GBK"/>
          <w:color w:val="auto"/>
          <w:sz w:val="24"/>
          <w:highlight w:val="none"/>
        </w:rPr>
      </w:pPr>
    </w:p>
    <w:p w14:paraId="6D8AE882">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磋商项目名称：</w:t>
      </w:r>
      <w:r>
        <w:rPr>
          <w:rFonts w:hint="eastAsia" w:ascii="方正仿宋_GBK" w:hAnsi="宋体" w:eastAsia="方正仿宋_GBK"/>
          <w:color w:val="auto"/>
          <w:sz w:val="24"/>
          <w:highlight w:val="none"/>
          <w:u w:val="single"/>
        </w:rPr>
        <w:t xml:space="preserve">                                                </w:t>
      </w:r>
    </w:p>
    <w:p w14:paraId="743F591F">
      <w:pPr>
        <w:tabs>
          <w:tab w:val="left" w:pos="6300"/>
        </w:tabs>
        <w:snapToGrid w:val="0"/>
        <w:spacing w:line="500" w:lineRule="exact"/>
        <w:ind w:firstLine="570"/>
        <w:rPr>
          <w:rFonts w:hint="eastAsia" w:ascii="方正仿宋_GBK" w:hAnsi="宋体" w:eastAsia="方正仿宋_GBK"/>
          <w:color w:val="auto"/>
          <w:sz w:val="24"/>
          <w:highlight w:val="none"/>
        </w:rPr>
      </w:pPr>
    </w:p>
    <w:p w14:paraId="3C769E1E">
      <w:pPr>
        <w:tabs>
          <w:tab w:val="left" w:pos="6300"/>
        </w:tabs>
        <w:snapToGrid w:val="0"/>
        <w:spacing w:line="500" w:lineRule="exact"/>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致：</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（采购代理机构名称）：</w:t>
      </w:r>
    </w:p>
    <w:p w14:paraId="42FF0D67">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（法定代表人姓名）在</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（供应商名称）任</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（职务名称）职务，是（供应商名称）</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的法定代表人。</w:t>
      </w:r>
    </w:p>
    <w:p w14:paraId="347031B8">
      <w:pPr>
        <w:tabs>
          <w:tab w:val="left" w:pos="6300"/>
        </w:tabs>
        <w:snapToGrid w:val="0"/>
        <w:spacing w:line="500" w:lineRule="exact"/>
        <w:ind w:firstLine="570"/>
        <w:rPr>
          <w:rFonts w:hint="eastAsia" w:ascii="方正仿宋_GBK" w:hAnsi="宋体" w:eastAsia="方正仿宋_GBK"/>
          <w:color w:val="auto"/>
          <w:sz w:val="24"/>
          <w:highlight w:val="none"/>
        </w:rPr>
      </w:pPr>
    </w:p>
    <w:p w14:paraId="622314B4">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特此证明。</w:t>
      </w:r>
    </w:p>
    <w:p w14:paraId="07F85251">
      <w:pPr>
        <w:tabs>
          <w:tab w:val="left" w:pos="6300"/>
        </w:tabs>
        <w:snapToGrid w:val="0"/>
        <w:spacing w:line="500" w:lineRule="exact"/>
        <w:ind w:firstLine="570"/>
        <w:rPr>
          <w:rFonts w:hint="eastAsia" w:ascii="方正仿宋_GBK" w:hAnsi="宋体" w:eastAsia="方正仿宋_GBK"/>
          <w:color w:val="auto"/>
          <w:sz w:val="24"/>
          <w:highlight w:val="none"/>
        </w:rPr>
      </w:pPr>
    </w:p>
    <w:p w14:paraId="74C252E0">
      <w:pPr>
        <w:tabs>
          <w:tab w:val="left" w:pos="6300"/>
        </w:tabs>
        <w:snapToGrid w:val="0"/>
        <w:spacing w:line="500" w:lineRule="exact"/>
        <w:ind w:firstLine="570"/>
        <w:rPr>
          <w:rFonts w:hint="eastAsia" w:ascii="方正仿宋_GBK" w:hAnsi="宋体" w:eastAsia="方正仿宋_GBK"/>
          <w:color w:val="auto"/>
          <w:sz w:val="24"/>
          <w:highlight w:val="none"/>
        </w:rPr>
      </w:pPr>
    </w:p>
    <w:p w14:paraId="24E6766C">
      <w:pPr>
        <w:tabs>
          <w:tab w:val="left" w:pos="6300"/>
        </w:tabs>
        <w:snapToGrid w:val="0"/>
        <w:spacing w:line="500" w:lineRule="exact"/>
        <w:ind w:firstLine="570"/>
        <w:rPr>
          <w:rFonts w:hint="eastAsia" w:ascii="方正仿宋_GBK" w:hAnsi="宋体" w:eastAsia="方正仿宋_GBK"/>
          <w:color w:val="auto"/>
          <w:sz w:val="24"/>
          <w:highlight w:val="none"/>
        </w:rPr>
      </w:pPr>
    </w:p>
    <w:p w14:paraId="1A3695A4">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 xml:space="preserve">                                             （供应商公章）</w:t>
      </w:r>
    </w:p>
    <w:p w14:paraId="6B7B9082">
      <w:pPr>
        <w:tabs>
          <w:tab w:val="left" w:pos="6300"/>
        </w:tabs>
        <w:snapToGrid w:val="0"/>
        <w:spacing w:line="500" w:lineRule="exact"/>
        <w:ind w:firstLine="570"/>
        <w:rPr>
          <w:rFonts w:hint="eastAsia" w:ascii="方正仿宋_GBK" w:hAnsi="宋体" w:eastAsia="方正仿宋_GBK"/>
          <w:color w:val="auto"/>
          <w:sz w:val="24"/>
          <w:highlight w:val="none"/>
        </w:rPr>
      </w:pPr>
    </w:p>
    <w:p w14:paraId="01218EF0">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 xml:space="preserve">                                             年   月   日</w:t>
      </w:r>
    </w:p>
    <w:p w14:paraId="28D128DE">
      <w:pPr>
        <w:tabs>
          <w:tab w:val="left" w:pos="6300"/>
        </w:tabs>
        <w:snapToGrid w:val="0"/>
        <w:spacing w:line="500" w:lineRule="exact"/>
        <w:ind w:firstLine="57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法定代表人电话：XXXXXXX      电子邮箱：XXXXXX@XXXXX（若授权他人办理并签署响应文件的可不填写）</w:t>
      </w:r>
    </w:p>
    <w:p w14:paraId="0921D204">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仿宋" w:eastAsia="方正仿宋_GBK"/>
          <w:color w:val="auto"/>
          <w:sz w:val="24"/>
          <w:highlight w:val="none"/>
        </w:rPr>
        <w:t>（附：法定代表人身份证正反面复印件）</w:t>
      </w:r>
    </w:p>
    <w:p w14:paraId="6EB57DD9">
      <w:pPr>
        <w:tabs>
          <w:tab w:val="left" w:pos="6300"/>
        </w:tabs>
        <w:snapToGrid w:val="0"/>
        <w:spacing w:line="500" w:lineRule="exact"/>
        <w:ind w:firstLine="570"/>
        <w:rPr>
          <w:rFonts w:hint="eastAsia" w:ascii="方正仿宋_GBK" w:hAnsi="宋体" w:eastAsia="方正仿宋_GBK"/>
          <w:color w:val="auto"/>
          <w:sz w:val="24"/>
          <w:highlight w:val="none"/>
        </w:rPr>
      </w:pPr>
    </w:p>
    <w:p w14:paraId="27DA40C0">
      <w:pPr>
        <w:tabs>
          <w:tab w:val="left" w:pos="6300"/>
        </w:tabs>
        <w:snapToGrid w:val="0"/>
        <w:spacing w:line="500" w:lineRule="exact"/>
        <w:ind w:firstLine="570"/>
        <w:rPr>
          <w:rFonts w:hint="eastAsia" w:ascii="方正仿宋_GBK" w:hAnsi="宋体" w:eastAsia="方正仿宋_GBK"/>
          <w:color w:val="auto"/>
          <w:sz w:val="24"/>
          <w:highlight w:val="none"/>
        </w:rPr>
      </w:pPr>
    </w:p>
    <w:p w14:paraId="731FE6A2">
      <w:pPr>
        <w:tabs>
          <w:tab w:val="left" w:pos="6300"/>
        </w:tabs>
        <w:snapToGrid w:val="0"/>
        <w:spacing w:line="500" w:lineRule="exact"/>
        <w:ind w:firstLine="570"/>
        <w:rPr>
          <w:rFonts w:hint="eastAsia" w:ascii="方正仿宋_GBK" w:hAnsi="宋体" w:eastAsia="方正仿宋_GBK"/>
          <w:color w:val="auto"/>
          <w:sz w:val="24"/>
          <w:highlight w:val="none"/>
        </w:rPr>
      </w:pPr>
    </w:p>
    <w:p w14:paraId="138B82CB">
      <w:pPr>
        <w:tabs>
          <w:tab w:val="left" w:pos="6300"/>
        </w:tabs>
        <w:snapToGrid w:val="0"/>
        <w:spacing w:line="500" w:lineRule="exact"/>
        <w:ind w:firstLine="570"/>
        <w:rPr>
          <w:rFonts w:hint="eastAsia" w:ascii="方正仿宋_GBK" w:hAnsi="宋体" w:eastAsia="方正仿宋_GBK"/>
          <w:color w:val="auto"/>
          <w:sz w:val="24"/>
          <w:highlight w:val="none"/>
        </w:rPr>
      </w:pPr>
    </w:p>
    <w:p w14:paraId="2BB00A27">
      <w:pPr>
        <w:tabs>
          <w:tab w:val="left" w:pos="6300"/>
        </w:tabs>
        <w:snapToGrid w:val="0"/>
        <w:spacing w:line="500" w:lineRule="exact"/>
        <w:ind w:firstLine="570"/>
        <w:rPr>
          <w:rFonts w:hint="eastAsia" w:ascii="方正仿宋_GBK" w:hAnsi="宋体" w:eastAsia="方正仿宋_GBK"/>
          <w:color w:val="auto"/>
          <w:sz w:val="24"/>
          <w:highlight w:val="none"/>
        </w:rPr>
      </w:pPr>
    </w:p>
    <w:p w14:paraId="3509F52D">
      <w:pPr>
        <w:tabs>
          <w:tab w:val="left" w:pos="6300"/>
        </w:tabs>
        <w:snapToGrid w:val="0"/>
        <w:spacing w:line="500" w:lineRule="exact"/>
        <w:ind w:firstLine="570"/>
        <w:rPr>
          <w:rFonts w:hint="eastAsia" w:ascii="方正仿宋_GBK" w:hAnsi="宋体" w:eastAsia="方正仿宋_GBK"/>
          <w:color w:val="auto"/>
          <w:sz w:val="24"/>
          <w:highlight w:val="none"/>
        </w:rPr>
      </w:pPr>
    </w:p>
    <w:p w14:paraId="27BB9726">
      <w:pPr>
        <w:snapToGrid w:val="0"/>
        <w:spacing w:line="400" w:lineRule="exact"/>
        <w:ind w:firstLine="560" w:firstLineChars="200"/>
        <w:rPr>
          <w:rFonts w:hint="eastAsia" w:ascii="方正仿宋_GBK" w:hAnsi="宋体" w:eastAsia="方正仿宋_GBK"/>
          <w:color w:val="auto"/>
          <w:sz w:val="24"/>
          <w:szCs w:val="24"/>
          <w:highlight w:val="none"/>
        </w:rPr>
      </w:pPr>
      <w:r>
        <w:rPr>
          <w:color w:val="auto"/>
          <w:highlight w:val="none"/>
        </w:rPr>
        <w:br w:type="column"/>
      </w:r>
      <w:r>
        <w:rPr>
          <w:rFonts w:hint="eastAsia" w:ascii="方正仿宋_GBK" w:hAnsi="宋体" w:eastAsia="方正仿宋_GBK"/>
          <w:color w:val="auto"/>
          <w:sz w:val="24"/>
          <w:szCs w:val="24"/>
          <w:highlight w:val="none"/>
        </w:rPr>
        <w:t>（三）法定代表人授权委托书（格式）</w:t>
      </w:r>
    </w:p>
    <w:p w14:paraId="6C2EF010">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 xml:space="preserve">    </w:t>
      </w:r>
    </w:p>
    <w:p w14:paraId="76453D7C">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szCs w:val="28"/>
          <w:highlight w:val="none"/>
        </w:rPr>
        <w:t>磋商项目名称</w:t>
      </w:r>
      <w:r>
        <w:rPr>
          <w:rFonts w:hint="eastAsia" w:ascii="方正仿宋_GBK" w:hAnsi="宋体" w:eastAsia="方正仿宋_GBK"/>
          <w:color w:val="auto"/>
          <w:sz w:val="24"/>
          <w:highlight w:val="none"/>
        </w:rPr>
        <w:t>：</w:t>
      </w:r>
      <w:r>
        <w:rPr>
          <w:rFonts w:hint="eastAsia" w:ascii="方正仿宋_GBK" w:hAnsi="宋体" w:eastAsia="方正仿宋_GBK"/>
          <w:color w:val="auto"/>
          <w:sz w:val="24"/>
          <w:highlight w:val="none"/>
          <w:u w:val="single"/>
        </w:rPr>
        <w:t xml:space="preserve">                                                </w:t>
      </w:r>
    </w:p>
    <w:p w14:paraId="0E064EAE">
      <w:pPr>
        <w:tabs>
          <w:tab w:val="left" w:pos="6300"/>
        </w:tabs>
        <w:snapToGrid w:val="0"/>
        <w:spacing w:line="500" w:lineRule="exact"/>
        <w:ind w:firstLine="570"/>
        <w:rPr>
          <w:rFonts w:hint="eastAsia" w:ascii="方正仿宋_GBK" w:hAnsi="宋体" w:eastAsia="方正仿宋_GBK"/>
          <w:color w:val="auto"/>
          <w:sz w:val="24"/>
          <w:highlight w:val="none"/>
        </w:rPr>
      </w:pPr>
    </w:p>
    <w:p w14:paraId="6A658317">
      <w:pPr>
        <w:tabs>
          <w:tab w:val="left" w:pos="6300"/>
        </w:tabs>
        <w:snapToGrid w:val="0"/>
        <w:spacing w:line="500" w:lineRule="exact"/>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致：</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（采购代理机构名称）：</w:t>
      </w:r>
    </w:p>
    <w:p w14:paraId="669814DC">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（供应商法定代表人名称）是</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（供应商名称）的法定代表人，特授权</w:t>
      </w:r>
      <w:r>
        <w:rPr>
          <w:rFonts w:hint="eastAsia" w:ascii="方正仿宋_GBK" w:hAnsi="宋体" w:eastAsia="方正仿宋_GBK"/>
          <w:color w:val="auto"/>
          <w:sz w:val="24"/>
          <w:highlight w:val="none"/>
          <w:u w:val="single"/>
        </w:rPr>
        <w:t xml:space="preserve">          </w:t>
      </w:r>
      <w:r>
        <w:rPr>
          <w:rFonts w:hint="eastAsia" w:ascii="方正仿宋_GBK" w:hAnsi="宋体" w:eastAsia="方正仿宋_GBK"/>
          <w:color w:val="auto"/>
          <w:sz w:val="24"/>
          <w:highlight w:val="none"/>
        </w:rPr>
        <w:t>（被授权人姓名及身份证代码）代表我单位全权办理上述项目的磋商、签约等具体工作，并签署全部有关文件、协议及合同。</w:t>
      </w:r>
    </w:p>
    <w:p w14:paraId="2B883E4D">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我单位对被授权人的</w:t>
      </w:r>
      <w:r>
        <w:rPr>
          <w:rFonts w:hint="eastAsia" w:ascii="方正仿宋_GBK" w:hAnsi="宋体" w:eastAsia="方正仿宋_GBK"/>
          <w:color w:val="auto"/>
          <w:sz w:val="24"/>
          <w:szCs w:val="28"/>
          <w:highlight w:val="none"/>
        </w:rPr>
        <w:t>签署</w:t>
      </w:r>
      <w:r>
        <w:rPr>
          <w:rFonts w:hint="eastAsia" w:ascii="方正仿宋_GBK" w:hAnsi="宋体" w:eastAsia="方正仿宋_GBK"/>
          <w:color w:val="auto"/>
          <w:sz w:val="24"/>
          <w:highlight w:val="none"/>
        </w:rPr>
        <w:t>负全部责任。</w:t>
      </w:r>
    </w:p>
    <w:p w14:paraId="59EDC354">
      <w:pPr>
        <w:tabs>
          <w:tab w:val="left" w:pos="6300"/>
        </w:tabs>
        <w:snapToGrid w:val="0"/>
        <w:spacing w:line="500" w:lineRule="exact"/>
        <w:ind w:firstLine="480" w:firstLineChars="20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在撤销授权的书面通知以前，本授权书一直有效。被授权人在授权书有效期内签署的所有文件不因授权的撤销而失效。</w:t>
      </w:r>
    </w:p>
    <w:p w14:paraId="364C5E16">
      <w:pPr>
        <w:tabs>
          <w:tab w:val="left" w:pos="6300"/>
        </w:tabs>
        <w:snapToGrid w:val="0"/>
        <w:spacing w:line="500" w:lineRule="exact"/>
        <w:ind w:firstLine="570"/>
        <w:rPr>
          <w:rFonts w:hint="eastAsia" w:ascii="方正仿宋_GBK" w:hAnsi="宋体" w:eastAsia="方正仿宋_GBK"/>
          <w:color w:val="auto"/>
          <w:sz w:val="24"/>
          <w:highlight w:val="none"/>
        </w:rPr>
      </w:pPr>
    </w:p>
    <w:p w14:paraId="3A21DBCB">
      <w:pPr>
        <w:tabs>
          <w:tab w:val="left" w:pos="6300"/>
        </w:tabs>
        <w:snapToGrid w:val="0"/>
        <w:spacing w:line="500" w:lineRule="exact"/>
        <w:ind w:firstLine="570"/>
        <w:rPr>
          <w:rFonts w:hint="eastAsia" w:ascii="方正仿宋_GBK" w:hAnsi="宋体" w:eastAsia="方正仿宋_GBK"/>
          <w:color w:val="auto"/>
          <w:sz w:val="24"/>
          <w:highlight w:val="none"/>
        </w:rPr>
      </w:pPr>
    </w:p>
    <w:p w14:paraId="4EE5D55C">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被授权人：                                 供应商法定代表人：</w:t>
      </w:r>
    </w:p>
    <w:p w14:paraId="1E9DF98D">
      <w:pPr>
        <w:tabs>
          <w:tab w:val="left" w:pos="6300"/>
        </w:tabs>
        <w:snapToGrid w:val="0"/>
        <w:spacing w:line="500" w:lineRule="exact"/>
        <w:ind w:firstLine="570"/>
        <w:rPr>
          <w:rFonts w:hint="eastAsia" w:ascii="方正仿宋_GBK" w:hAnsi="宋体" w:eastAsia="方正仿宋_GBK"/>
          <w:color w:val="auto"/>
          <w:sz w:val="24"/>
          <w:szCs w:val="28"/>
          <w:highlight w:val="none"/>
        </w:rPr>
      </w:pPr>
      <w:r>
        <w:rPr>
          <w:rFonts w:hint="eastAsia" w:ascii="方正仿宋_GBK" w:hAnsi="宋体" w:eastAsia="方正仿宋_GBK"/>
          <w:color w:val="auto"/>
          <w:sz w:val="24"/>
          <w:szCs w:val="28"/>
          <w:highlight w:val="none"/>
        </w:rPr>
        <w:t>（签署或盖章）                                （签署或盖章）</w:t>
      </w:r>
    </w:p>
    <w:p w14:paraId="2D080B62">
      <w:pPr>
        <w:tabs>
          <w:tab w:val="left" w:pos="6300"/>
        </w:tabs>
        <w:snapToGrid w:val="0"/>
        <w:spacing w:line="500" w:lineRule="exact"/>
        <w:ind w:firstLine="570"/>
        <w:rPr>
          <w:rFonts w:hint="eastAsia" w:ascii="方正仿宋_GBK" w:hAnsi="宋体" w:eastAsia="方正仿宋_GBK"/>
          <w:color w:val="auto"/>
          <w:sz w:val="24"/>
          <w:szCs w:val="28"/>
          <w:highlight w:val="none"/>
        </w:rPr>
      </w:pPr>
    </w:p>
    <w:p w14:paraId="196730F2">
      <w:pPr>
        <w:tabs>
          <w:tab w:val="left" w:pos="6300"/>
        </w:tabs>
        <w:snapToGrid w:val="0"/>
        <w:spacing w:line="500" w:lineRule="exact"/>
        <w:ind w:firstLine="570"/>
        <w:rPr>
          <w:rFonts w:hint="eastAsia" w:ascii="方正仿宋_GBK" w:hAnsi="宋体" w:eastAsia="方正仿宋_GBK"/>
          <w:color w:val="auto"/>
          <w:sz w:val="24"/>
          <w:highlight w:val="none"/>
        </w:rPr>
      </w:pPr>
    </w:p>
    <w:p w14:paraId="4CBA57EF">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（附：被授权人身份证正反面复印件）</w:t>
      </w:r>
    </w:p>
    <w:p w14:paraId="594AC986">
      <w:pPr>
        <w:tabs>
          <w:tab w:val="left" w:pos="6300"/>
        </w:tabs>
        <w:snapToGrid w:val="0"/>
        <w:spacing w:line="500" w:lineRule="exact"/>
        <w:ind w:firstLine="570"/>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 xml:space="preserve">                                          </w:t>
      </w:r>
    </w:p>
    <w:p w14:paraId="4614DCD9">
      <w:pPr>
        <w:tabs>
          <w:tab w:val="left" w:pos="6300"/>
        </w:tabs>
        <w:snapToGrid w:val="0"/>
        <w:spacing w:line="500" w:lineRule="exact"/>
        <w:ind w:firstLine="570"/>
        <w:rPr>
          <w:rFonts w:hint="eastAsia" w:ascii="方正仿宋_GBK" w:hAnsi="宋体" w:eastAsia="方正仿宋_GBK"/>
          <w:color w:val="auto"/>
          <w:sz w:val="24"/>
          <w:highlight w:val="none"/>
        </w:rPr>
      </w:pPr>
    </w:p>
    <w:p w14:paraId="57B14796">
      <w:pPr>
        <w:tabs>
          <w:tab w:val="left" w:pos="6300"/>
        </w:tabs>
        <w:snapToGrid w:val="0"/>
        <w:spacing w:line="500" w:lineRule="exact"/>
        <w:ind w:firstLine="570"/>
        <w:rPr>
          <w:rFonts w:hint="eastAsia" w:ascii="方正仿宋_GBK" w:hAnsi="宋体" w:eastAsia="方正仿宋_GBK"/>
          <w:color w:val="auto"/>
          <w:sz w:val="24"/>
          <w:highlight w:val="none"/>
        </w:rPr>
      </w:pPr>
    </w:p>
    <w:p w14:paraId="5C7F6113">
      <w:pPr>
        <w:tabs>
          <w:tab w:val="left" w:pos="6300"/>
        </w:tabs>
        <w:snapToGrid w:val="0"/>
        <w:spacing w:line="500" w:lineRule="exact"/>
        <w:ind w:right="480" w:firstLine="570"/>
        <w:jc w:val="right"/>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（供应商公章）</w:t>
      </w:r>
    </w:p>
    <w:p w14:paraId="25E11CEB">
      <w:pPr>
        <w:tabs>
          <w:tab w:val="left" w:pos="6300"/>
        </w:tabs>
        <w:snapToGrid w:val="0"/>
        <w:spacing w:line="500" w:lineRule="exact"/>
        <w:ind w:right="480" w:firstLine="570"/>
        <w:jc w:val="right"/>
        <w:rPr>
          <w:rFonts w:hint="eastAsia" w:ascii="方正仿宋_GBK" w:hAnsi="宋体" w:eastAsia="方正仿宋_GBK"/>
          <w:color w:val="auto"/>
          <w:sz w:val="24"/>
          <w:highlight w:val="none"/>
        </w:rPr>
      </w:pPr>
      <w:r>
        <w:rPr>
          <w:rFonts w:hint="eastAsia" w:ascii="方正仿宋_GBK" w:hAnsi="宋体" w:eastAsia="方正仿宋_GBK"/>
          <w:color w:val="auto"/>
          <w:sz w:val="24"/>
          <w:highlight w:val="none"/>
        </w:rPr>
        <w:t>年   月   日</w:t>
      </w:r>
    </w:p>
    <w:p w14:paraId="71BBF59F">
      <w:pPr>
        <w:tabs>
          <w:tab w:val="left" w:pos="6300"/>
        </w:tabs>
        <w:snapToGrid w:val="0"/>
        <w:spacing w:line="500" w:lineRule="exact"/>
        <w:ind w:right="480" w:firstLine="570"/>
        <w:jc w:val="left"/>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被授权人电话：XXXXXXX     电子邮箱：XXXXXX@XXXXX（若法定代表人办理并签署响应文件的可不填写）</w:t>
      </w:r>
    </w:p>
    <w:p w14:paraId="0876A434">
      <w:pPr>
        <w:tabs>
          <w:tab w:val="left" w:pos="6300"/>
        </w:tabs>
        <w:snapToGrid w:val="0"/>
        <w:spacing w:line="500" w:lineRule="exact"/>
        <w:ind w:right="480" w:firstLine="570"/>
        <w:jc w:val="left"/>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注：</w:t>
      </w:r>
    </w:p>
    <w:p w14:paraId="4578EA70">
      <w:pPr>
        <w:tabs>
          <w:tab w:val="left" w:pos="6300"/>
        </w:tabs>
        <w:snapToGrid w:val="0"/>
        <w:spacing w:line="500" w:lineRule="exact"/>
        <w:ind w:right="480" w:firstLine="570"/>
        <w:jc w:val="left"/>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1.若为法定代表人办理并签署响应文件的，不提供此文件。</w:t>
      </w:r>
    </w:p>
    <w:p w14:paraId="50DE4330">
      <w:pPr>
        <w:tabs>
          <w:tab w:val="left" w:pos="6300"/>
        </w:tabs>
        <w:snapToGrid w:val="0"/>
        <w:spacing w:line="500" w:lineRule="exact"/>
        <w:ind w:firstLine="57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2.若为联合体参与的，法定代表人授权委托书由联合体主办方</w:t>
      </w:r>
      <w:r>
        <w:rPr>
          <w:rFonts w:hint="eastAsia" w:ascii="方正仿宋_GBK" w:hAnsi="仿宋" w:eastAsia="方正仿宋_GBK" w:cs="宋体"/>
          <w:color w:val="auto"/>
          <w:kern w:val="0"/>
          <w:sz w:val="24"/>
          <w:szCs w:val="24"/>
          <w:highlight w:val="none"/>
        </w:rPr>
        <w:t>（主体）</w:t>
      </w:r>
      <w:r>
        <w:rPr>
          <w:rFonts w:hint="eastAsia" w:ascii="方正仿宋_GBK" w:hAnsi="仿宋" w:eastAsia="方正仿宋_GBK"/>
          <w:color w:val="auto"/>
          <w:sz w:val="24"/>
          <w:highlight w:val="none"/>
        </w:rPr>
        <w:t>出具。</w:t>
      </w:r>
    </w:p>
    <w:p w14:paraId="30371FBC">
      <w:pPr>
        <w:tabs>
          <w:tab w:val="left" w:pos="6300"/>
        </w:tabs>
        <w:snapToGrid w:val="0"/>
        <w:spacing w:line="500" w:lineRule="exact"/>
        <w:ind w:firstLine="570"/>
        <w:rPr>
          <w:rFonts w:hint="eastAsia" w:ascii="方正仿宋_GBK" w:hAnsi="宋体" w:eastAsia="方正仿宋_GBK"/>
          <w:color w:val="auto"/>
          <w:sz w:val="24"/>
          <w:szCs w:val="24"/>
          <w:highlight w:val="none"/>
        </w:rPr>
      </w:pPr>
      <w:r>
        <w:rPr>
          <w:rFonts w:ascii="宋体" w:hAnsi="宋体"/>
          <w:color w:val="auto"/>
          <w:highlight w:val="none"/>
        </w:rPr>
        <w:br w:type="column"/>
      </w:r>
      <w:r>
        <w:rPr>
          <w:rFonts w:hint="eastAsia" w:ascii="方正仿宋_GBK" w:hAnsi="宋体" w:eastAsia="方正仿宋_GBK"/>
          <w:color w:val="auto"/>
          <w:sz w:val="24"/>
          <w:szCs w:val="24"/>
          <w:highlight w:val="none"/>
        </w:rPr>
        <w:t>（四）</w:t>
      </w:r>
      <w:r>
        <w:rPr>
          <w:rFonts w:hint="eastAsia" w:ascii="方正仿宋_GBK" w:hAnsi="宋体" w:eastAsia="方正仿宋_GBK"/>
          <w:color w:val="auto"/>
          <w:sz w:val="24"/>
          <w:szCs w:val="28"/>
          <w:highlight w:val="none"/>
        </w:rPr>
        <w:t>基本资格条件承诺函</w:t>
      </w:r>
    </w:p>
    <w:p w14:paraId="1CBF6FFC">
      <w:pPr>
        <w:tabs>
          <w:tab w:val="left" w:pos="6300"/>
        </w:tabs>
        <w:snapToGrid w:val="0"/>
        <w:spacing w:line="500" w:lineRule="exact"/>
        <w:ind w:firstLine="643" w:firstLineChars="200"/>
        <w:jc w:val="center"/>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基本资格条件承诺函</w:t>
      </w:r>
    </w:p>
    <w:p w14:paraId="10DF50DC">
      <w:pPr>
        <w:tabs>
          <w:tab w:val="left" w:pos="6300"/>
        </w:tabs>
        <w:snapToGrid w:val="0"/>
        <w:spacing w:line="530" w:lineRule="exact"/>
        <w:rPr>
          <w:color w:val="auto"/>
          <w:sz w:val="24"/>
          <w:highlight w:val="none"/>
        </w:rPr>
      </w:pPr>
    </w:p>
    <w:p w14:paraId="0A798AB8">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致</w:t>
      </w:r>
      <w:r>
        <w:rPr>
          <w:rFonts w:hint="eastAsia"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（采购代理机构名称）：</w:t>
      </w:r>
    </w:p>
    <w:p w14:paraId="63897457">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 xml:space="preserve">    </w:t>
      </w:r>
      <w:r>
        <w:rPr>
          <w:rFonts w:hint="eastAsia" w:ascii="方正仿宋_GBK" w:hAnsi="仿宋" w:eastAsia="方正仿宋_GBK"/>
          <w:color w:val="auto"/>
          <w:sz w:val="24"/>
          <w:highlight w:val="none"/>
          <w:u w:val="single"/>
        </w:rPr>
        <w:t xml:space="preserve">              </w:t>
      </w:r>
      <w:r>
        <w:rPr>
          <w:rFonts w:hint="eastAsia" w:ascii="方正仿宋_GBK" w:hAnsi="仿宋" w:eastAsia="方正仿宋_GBK"/>
          <w:color w:val="auto"/>
          <w:sz w:val="24"/>
          <w:highlight w:val="none"/>
        </w:rPr>
        <w:t>（供应商名称）郑重承诺：</w:t>
      </w:r>
    </w:p>
    <w:p w14:paraId="56F4EEE0">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1.我方具有良好的商业信誉和健全的财务会计制度，具有履行合同所必需的设备和专业技术能力，具</w:t>
      </w:r>
      <w:r>
        <w:rPr>
          <w:rFonts w:hint="eastAsia" w:ascii="方正仿宋_GBK" w:hAnsi="仿宋" w:eastAsia="方正仿宋_GBK"/>
          <w:color w:val="auto"/>
          <w:sz w:val="24"/>
          <w:highlight w:val="none"/>
          <w:lang w:val="zh-CN"/>
        </w:rPr>
        <w:t>有依法缴纳税收和社会保障金的良好记录</w:t>
      </w:r>
      <w:r>
        <w:rPr>
          <w:rFonts w:hint="eastAsia" w:ascii="方正仿宋_GBK" w:hAnsi="仿宋" w:eastAsia="方正仿宋_GBK"/>
          <w:color w:val="auto"/>
          <w:sz w:val="24"/>
          <w:highlight w:val="none"/>
        </w:rPr>
        <w:t>，参加本项目采购活动前三年内无重大违法活动记录。</w:t>
      </w:r>
    </w:p>
    <w:p w14:paraId="3BB6150C">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2.我方未列入在信用中国网站（www.creditchina.gov.cn）“失信被执行人”、“重大税收违法案件当事人名单”中，也未列入中国政府采购网（www.ccgp.gov.cn）“政府采购严重违法失信行为记录名单”中。</w:t>
      </w:r>
    </w:p>
    <w:p w14:paraId="412DFFA7">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3.我方在采购项目评审（评标）环节结束后，随时接受采购人、采购代理机构的检查验证，配合提供相关证明材料，证明符合《中华人民共和国政府采购法》规定的供应商基本资格条件。</w:t>
      </w:r>
    </w:p>
    <w:p w14:paraId="2067B366">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我方对以上承诺负全部法律责任。</w:t>
      </w:r>
    </w:p>
    <w:p w14:paraId="2536D049">
      <w:pPr>
        <w:tabs>
          <w:tab w:val="left" w:pos="6300"/>
        </w:tabs>
        <w:snapToGrid w:val="0"/>
        <w:spacing w:line="500" w:lineRule="exact"/>
        <w:ind w:firstLine="480" w:firstLineChars="200"/>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特此承诺。</w:t>
      </w:r>
    </w:p>
    <w:p w14:paraId="6FF9038B">
      <w:pPr>
        <w:tabs>
          <w:tab w:val="left" w:pos="6300"/>
        </w:tabs>
        <w:snapToGrid w:val="0"/>
        <w:spacing w:line="500" w:lineRule="exact"/>
        <w:ind w:firstLine="480" w:firstLineChars="200"/>
        <w:rPr>
          <w:rFonts w:hint="eastAsia" w:ascii="方正仿宋_GBK" w:hAnsi="仿宋" w:eastAsia="方正仿宋_GBK"/>
          <w:color w:val="auto"/>
          <w:sz w:val="24"/>
          <w:highlight w:val="none"/>
        </w:rPr>
      </w:pPr>
    </w:p>
    <w:p w14:paraId="78DB99D2">
      <w:pPr>
        <w:tabs>
          <w:tab w:val="left" w:pos="6300"/>
        </w:tabs>
        <w:snapToGrid w:val="0"/>
        <w:spacing w:line="500" w:lineRule="exact"/>
        <w:ind w:firstLine="480" w:firstLineChars="200"/>
        <w:jc w:val="right"/>
        <w:rPr>
          <w:rFonts w:hint="eastAsia" w:ascii="方正仿宋_GBK" w:hAnsi="仿宋" w:eastAsia="方正仿宋_GBK"/>
          <w:color w:val="auto"/>
          <w:sz w:val="24"/>
          <w:highlight w:val="none"/>
        </w:rPr>
      </w:pPr>
      <w:r>
        <w:rPr>
          <w:rFonts w:hint="eastAsia" w:ascii="方正仿宋_GBK" w:hAnsi="仿宋" w:eastAsia="方正仿宋_GBK"/>
          <w:color w:val="auto"/>
          <w:sz w:val="24"/>
          <w:highlight w:val="none"/>
        </w:rPr>
        <w:t>（供应商公章）</w:t>
      </w:r>
    </w:p>
    <w:p w14:paraId="79046627">
      <w:pPr>
        <w:tabs>
          <w:tab w:val="left" w:pos="6300"/>
        </w:tabs>
        <w:snapToGrid w:val="0"/>
        <w:spacing w:line="500" w:lineRule="exact"/>
        <w:ind w:firstLine="7920" w:firstLineChars="3300"/>
        <w:rPr>
          <w:rFonts w:hint="eastAsia" w:ascii="方正仿宋_GBK" w:hAnsi="宋体" w:eastAsia="方正仿宋_GBK"/>
          <w:color w:val="auto"/>
          <w:sz w:val="24"/>
          <w:szCs w:val="24"/>
          <w:highlight w:val="none"/>
        </w:rPr>
      </w:pPr>
      <w:r>
        <w:rPr>
          <w:rFonts w:hint="eastAsia" w:ascii="方正仿宋_GBK" w:hAnsi="仿宋" w:eastAsia="方正仿宋_GBK"/>
          <w:color w:val="auto"/>
          <w:sz w:val="24"/>
          <w:highlight w:val="none"/>
        </w:rPr>
        <w:t>年   月   日</w:t>
      </w:r>
    </w:p>
    <w:p w14:paraId="512E886C">
      <w:pPr>
        <w:pStyle w:val="3"/>
        <w:adjustRightInd w:val="0"/>
        <w:snapToGrid w:val="0"/>
        <w:spacing w:before="0" w:after="0" w:line="400" w:lineRule="exact"/>
        <w:ind w:firstLine="643" w:firstLineChars="200"/>
        <w:rPr>
          <w:rFonts w:hint="eastAsia" w:ascii="方正仿宋_GBK" w:hAnsi="仿宋" w:eastAsia="方正仿宋_GBK"/>
          <w:color w:val="auto"/>
          <w:sz w:val="24"/>
          <w:highlight w:val="none"/>
        </w:rPr>
      </w:pPr>
      <w:r>
        <w:rPr>
          <w:rFonts w:ascii="方正仿宋_GBK" w:hAnsi="宋体" w:eastAsia="方正仿宋_GBK"/>
          <w:color w:val="auto"/>
          <w:highlight w:val="none"/>
        </w:rPr>
        <w:br w:type="page"/>
      </w:r>
      <w:bookmarkStart w:id="177" w:name="_Toc14422"/>
      <w:bookmarkStart w:id="178" w:name="_Toc106030910"/>
      <w:bookmarkStart w:id="179" w:name="_Toc76462354"/>
      <w:bookmarkStart w:id="180" w:name="_Toc31980"/>
      <w:r>
        <w:rPr>
          <w:rFonts w:hint="eastAsia" w:ascii="方正仿宋_GBK" w:hAnsi="宋体" w:eastAsia="方正仿宋_GBK"/>
          <w:color w:val="auto"/>
          <w:sz w:val="24"/>
          <w:highlight w:val="none"/>
        </w:rPr>
        <w:t>五、其他资料</w:t>
      </w:r>
      <w:bookmarkEnd w:id="177"/>
      <w:bookmarkEnd w:id="178"/>
      <w:bookmarkEnd w:id="179"/>
      <w:bookmarkEnd w:id="180"/>
    </w:p>
    <w:p w14:paraId="659554B6">
      <w:pPr>
        <w:snapToGrid w:val="0"/>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w:t>
      </w:r>
      <w:r>
        <w:rPr>
          <w:rFonts w:hint="eastAsia" w:ascii="方正仿宋_GBK" w:hAnsi="宋体" w:eastAsia="方正仿宋_GBK"/>
          <w:color w:val="auto"/>
          <w:sz w:val="24"/>
          <w:szCs w:val="24"/>
          <w:highlight w:val="none"/>
          <w:lang w:val="en-US" w:eastAsia="zh-CN"/>
        </w:rPr>
        <w:t>一</w:t>
      </w:r>
      <w:r>
        <w:rPr>
          <w:rFonts w:hint="eastAsia" w:ascii="方正仿宋_GBK" w:hAnsi="宋体" w:eastAsia="方正仿宋_GBK"/>
          <w:color w:val="auto"/>
          <w:sz w:val="24"/>
          <w:szCs w:val="24"/>
          <w:highlight w:val="none"/>
        </w:rPr>
        <w:t>）其他与项目有关的资料</w:t>
      </w:r>
    </w:p>
    <w:p w14:paraId="42D58C90">
      <w:pPr>
        <w:spacing w:line="400" w:lineRule="exact"/>
        <w:ind w:firstLine="480" w:firstLineChars="200"/>
        <w:rPr>
          <w:rFonts w:hint="eastAsia" w:ascii="方正仿宋_GBK" w:hAnsi="宋体" w:eastAsia="方正仿宋_GBK"/>
          <w:color w:val="auto"/>
          <w:sz w:val="24"/>
          <w:szCs w:val="24"/>
          <w:highlight w:val="none"/>
        </w:rPr>
      </w:pPr>
      <w:r>
        <w:rPr>
          <w:rFonts w:hint="eastAsia" w:ascii="方正仿宋_GBK" w:hAnsi="宋体" w:eastAsia="方正仿宋_GBK"/>
          <w:color w:val="auto"/>
          <w:sz w:val="24"/>
          <w:szCs w:val="24"/>
          <w:highlight w:val="none"/>
        </w:rPr>
        <w:t>其他与项目有关的资料（自附）：供应商总体情况介绍、其他与本项目有关的资料等。</w:t>
      </w:r>
    </w:p>
    <w:p w14:paraId="4DA43335">
      <w:pPr>
        <w:spacing w:line="360" w:lineRule="auto"/>
        <w:ind w:firstLine="480" w:firstLineChars="200"/>
        <w:rPr>
          <w:rFonts w:hint="eastAsia" w:ascii="方正仿宋_GBK" w:hAnsi="宋体" w:eastAsia="方正仿宋_GBK"/>
          <w:color w:val="auto"/>
          <w:sz w:val="24"/>
          <w:szCs w:val="24"/>
          <w:highlight w:val="none"/>
        </w:rPr>
      </w:pPr>
    </w:p>
    <w:p w14:paraId="7FE6DF73">
      <w:pPr>
        <w:spacing w:line="360" w:lineRule="auto"/>
        <w:ind w:firstLine="480" w:firstLineChars="200"/>
        <w:jc w:val="center"/>
        <w:rPr>
          <w:rFonts w:hint="eastAsia" w:ascii="方正仿宋_GBK" w:hAnsi="宋体" w:eastAsia="方正仿宋_GBK"/>
          <w:color w:val="auto"/>
          <w:sz w:val="24"/>
          <w:szCs w:val="24"/>
          <w:highlight w:val="none"/>
        </w:rPr>
      </w:pPr>
    </w:p>
    <w:p w14:paraId="5DC83F90">
      <w:pPr>
        <w:spacing w:line="360" w:lineRule="auto"/>
        <w:ind w:firstLine="480" w:firstLineChars="200"/>
        <w:jc w:val="center"/>
        <w:rPr>
          <w:rFonts w:hint="eastAsia" w:ascii="方正仿宋_GBK" w:hAnsi="宋体" w:eastAsia="方正仿宋_GBK"/>
          <w:color w:val="auto"/>
          <w:sz w:val="24"/>
          <w:szCs w:val="24"/>
          <w:highlight w:val="none"/>
        </w:rPr>
      </w:pPr>
    </w:p>
    <w:p w14:paraId="537176F3">
      <w:pPr>
        <w:spacing w:line="360" w:lineRule="auto"/>
        <w:ind w:firstLine="480" w:firstLineChars="200"/>
        <w:jc w:val="center"/>
        <w:rPr>
          <w:rFonts w:hint="eastAsia" w:ascii="方正仿宋_GBK" w:hAnsi="宋体" w:eastAsia="方正仿宋_GBK"/>
          <w:color w:val="auto"/>
          <w:sz w:val="24"/>
          <w:szCs w:val="24"/>
          <w:highlight w:val="none"/>
        </w:rPr>
      </w:pPr>
    </w:p>
    <w:p w14:paraId="189F9CD8">
      <w:pPr>
        <w:spacing w:line="360" w:lineRule="auto"/>
        <w:ind w:firstLine="480" w:firstLineChars="200"/>
        <w:jc w:val="center"/>
        <w:rPr>
          <w:rFonts w:hint="eastAsia" w:ascii="方正仿宋_GBK" w:hAnsi="宋体" w:eastAsia="方正仿宋_GBK"/>
          <w:color w:val="auto"/>
          <w:sz w:val="24"/>
          <w:szCs w:val="24"/>
          <w:highlight w:val="none"/>
        </w:rPr>
      </w:pPr>
    </w:p>
    <w:p w14:paraId="56F336CA">
      <w:pPr>
        <w:spacing w:line="360" w:lineRule="auto"/>
        <w:ind w:firstLine="480" w:firstLineChars="200"/>
        <w:jc w:val="center"/>
        <w:rPr>
          <w:rFonts w:hint="eastAsia" w:ascii="方正仿宋_GBK" w:hAnsi="宋体" w:eastAsia="方正仿宋_GBK"/>
          <w:color w:val="auto"/>
          <w:sz w:val="24"/>
          <w:szCs w:val="24"/>
          <w:highlight w:val="none"/>
        </w:rPr>
      </w:pPr>
    </w:p>
    <w:p w14:paraId="65EF3F6E">
      <w:pPr>
        <w:spacing w:line="360" w:lineRule="auto"/>
        <w:ind w:firstLine="480" w:firstLineChars="200"/>
        <w:jc w:val="center"/>
        <w:rPr>
          <w:rFonts w:hint="eastAsia" w:ascii="方正仿宋_GBK" w:hAnsi="宋体" w:eastAsia="方正仿宋_GBK"/>
          <w:color w:val="auto"/>
          <w:sz w:val="24"/>
          <w:szCs w:val="24"/>
          <w:highlight w:val="none"/>
        </w:rPr>
      </w:pPr>
    </w:p>
    <w:p w14:paraId="4A59655C">
      <w:pPr>
        <w:spacing w:line="360" w:lineRule="auto"/>
        <w:ind w:firstLine="480" w:firstLineChars="200"/>
        <w:jc w:val="center"/>
        <w:rPr>
          <w:rFonts w:hint="eastAsia" w:ascii="方正仿宋_GBK" w:hAnsi="宋体" w:eastAsia="方正仿宋_GBK"/>
          <w:color w:val="auto"/>
          <w:sz w:val="24"/>
          <w:szCs w:val="24"/>
          <w:highlight w:val="none"/>
        </w:rPr>
      </w:pPr>
    </w:p>
    <w:p w14:paraId="4E1DC7C9">
      <w:pPr>
        <w:spacing w:line="360" w:lineRule="auto"/>
        <w:ind w:firstLine="480" w:firstLineChars="200"/>
        <w:jc w:val="center"/>
        <w:rPr>
          <w:rFonts w:hint="eastAsia" w:ascii="方正仿宋_GBK" w:hAnsi="宋体" w:eastAsia="方正仿宋_GBK"/>
          <w:color w:val="auto"/>
          <w:sz w:val="24"/>
          <w:szCs w:val="24"/>
          <w:highlight w:val="none"/>
        </w:rPr>
      </w:pPr>
    </w:p>
    <w:p w14:paraId="05C13ABF">
      <w:pPr>
        <w:spacing w:line="360" w:lineRule="auto"/>
        <w:ind w:firstLine="480" w:firstLineChars="200"/>
        <w:jc w:val="center"/>
        <w:rPr>
          <w:rFonts w:hint="eastAsia" w:ascii="方正仿宋_GBK" w:hAnsi="宋体" w:eastAsia="方正仿宋_GBK"/>
          <w:color w:val="auto"/>
          <w:sz w:val="24"/>
          <w:szCs w:val="24"/>
          <w:highlight w:val="none"/>
        </w:rPr>
      </w:pPr>
    </w:p>
    <w:p w14:paraId="127DBADB">
      <w:pPr>
        <w:spacing w:line="360" w:lineRule="auto"/>
        <w:ind w:firstLine="480" w:firstLineChars="200"/>
        <w:jc w:val="center"/>
        <w:rPr>
          <w:rFonts w:hint="eastAsia" w:ascii="方正仿宋_GBK" w:hAnsi="宋体" w:eastAsia="方正仿宋_GBK"/>
          <w:color w:val="auto"/>
          <w:sz w:val="24"/>
          <w:szCs w:val="24"/>
          <w:highlight w:val="none"/>
        </w:rPr>
      </w:pPr>
    </w:p>
    <w:p w14:paraId="662E1AA0">
      <w:pPr>
        <w:spacing w:line="360" w:lineRule="auto"/>
        <w:ind w:firstLine="480" w:firstLineChars="200"/>
        <w:jc w:val="center"/>
        <w:rPr>
          <w:rFonts w:hint="eastAsia" w:ascii="方正仿宋_GBK" w:hAnsi="宋体" w:eastAsia="方正仿宋_GBK"/>
          <w:color w:val="auto"/>
          <w:sz w:val="24"/>
          <w:szCs w:val="24"/>
          <w:highlight w:val="none"/>
        </w:rPr>
      </w:pPr>
    </w:p>
    <w:p w14:paraId="1DD81A02">
      <w:pPr>
        <w:spacing w:line="360" w:lineRule="auto"/>
        <w:ind w:firstLine="480" w:firstLineChars="200"/>
        <w:jc w:val="center"/>
        <w:rPr>
          <w:rFonts w:hint="eastAsia" w:ascii="方正仿宋_GBK" w:hAnsi="宋体" w:eastAsia="方正仿宋_GBK"/>
          <w:color w:val="auto"/>
          <w:sz w:val="24"/>
          <w:szCs w:val="24"/>
          <w:highlight w:val="none"/>
        </w:rPr>
      </w:pPr>
    </w:p>
    <w:p w14:paraId="58AB57FF">
      <w:pPr>
        <w:spacing w:line="360" w:lineRule="auto"/>
        <w:ind w:firstLine="480" w:firstLineChars="200"/>
        <w:jc w:val="center"/>
        <w:rPr>
          <w:rFonts w:hint="eastAsia" w:ascii="方正仿宋_GBK" w:hAnsi="宋体" w:eastAsia="方正仿宋_GBK"/>
          <w:color w:val="auto"/>
          <w:sz w:val="24"/>
          <w:szCs w:val="24"/>
          <w:highlight w:val="none"/>
        </w:rPr>
      </w:pPr>
    </w:p>
    <w:p w14:paraId="0EA2DF33">
      <w:pPr>
        <w:spacing w:line="360" w:lineRule="auto"/>
        <w:ind w:firstLine="480" w:firstLineChars="200"/>
        <w:jc w:val="center"/>
        <w:rPr>
          <w:rFonts w:hint="eastAsia" w:ascii="方正仿宋_GBK" w:hAnsi="宋体" w:eastAsia="方正仿宋_GBK"/>
          <w:color w:val="auto"/>
          <w:sz w:val="24"/>
          <w:szCs w:val="24"/>
          <w:highlight w:val="none"/>
        </w:rPr>
      </w:pPr>
    </w:p>
    <w:p w14:paraId="05C213FC">
      <w:pPr>
        <w:spacing w:line="360" w:lineRule="auto"/>
        <w:ind w:firstLine="480" w:firstLineChars="200"/>
        <w:jc w:val="center"/>
        <w:rPr>
          <w:rFonts w:hint="eastAsia" w:ascii="方正仿宋_GBK" w:hAnsi="宋体" w:eastAsia="方正仿宋_GBK"/>
          <w:color w:val="auto"/>
          <w:sz w:val="24"/>
          <w:szCs w:val="24"/>
          <w:highlight w:val="none"/>
        </w:rPr>
      </w:pPr>
    </w:p>
    <w:p w14:paraId="77DD2446">
      <w:pPr>
        <w:spacing w:line="360" w:lineRule="auto"/>
        <w:ind w:firstLine="480" w:firstLineChars="200"/>
        <w:jc w:val="center"/>
        <w:outlineLvl w:val="0"/>
        <w:rPr>
          <w:rFonts w:hint="eastAsia" w:ascii="方正仿宋_GBK" w:hAnsi="宋体" w:eastAsia="方正仿宋_GBK"/>
          <w:color w:val="auto"/>
          <w:highlight w:val="none"/>
        </w:rPr>
      </w:pPr>
      <w:r>
        <w:rPr>
          <w:rFonts w:hint="eastAsia" w:ascii="方正仿宋_GBK" w:hAnsi="宋体" w:eastAsia="方正仿宋_GBK"/>
          <w:color w:val="auto"/>
          <w:sz w:val="24"/>
          <w:szCs w:val="24"/>
          <w:highlight w:val="none"/>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EA63AA1-26EE-4870-B137-9A8F3A46139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88512C7-6B85-4C38-AE38-2085BC07047C}"/>
  </w:font>
  <w:font w:name="PMingLiU">
    <w:panose1 w:val="02020500000000000000"/>
    <w:charset w:val="88"/>
    <w:family w:val="roman"/>
    <w:pitch w:val="default"/>
    <w:sig w:usb0="A00002FF" w:usb1="28CFFCFA" w:usb2="00000016" w:usb3="00000000" w:csb0="00100001" w:csb1="00000000"/>
  </w:font>
  <w:font w:name="仿宋_GB2312">
    <w:altName w:val="仿宋"/>
    <w:panose1 w:val="02010609030101010101"/>
    <w:charset w:val="86"/>
    <w:family w:val="modern"/>
    <w:pitch w:val="default"/>
    <w:sig w:usb0="00000000" w:usb1="00000000" w:usb2="00000000" w:usb3="00000000" w:csb0="00040000" w:csb1="00000000"/>
    <w:embedRegular r:id="rId3" w:fontKey="{19D3669C-6802-45C8-936A-6400B78F4096}"/>
  </w:font>
  <w:font w:name="仿宋">
    <w:panose1 w:val="02010609060101010101"/>
    <w:charset w:val="86"/>
    <w:family w:val="modern"/>
    <w:pitch w:val="default"/>
    <w:sig w:usb0="800002BF" w:usb1="38CF7CFA" w:usb2="00000016" w:usb3="00000000" w:csb0="00040001" w:csb1="00000000"/>
    <w:embedRegular r:id="rId4" w:fontKey="{52871F89-0121-49B9-9607-72FCDDBDEAD2}"/>
  </w:font>
  <w:font w:name="Cambria">
    <w:panose1 w:val="02040503050406030204"/>
    <w:charset w:val="00"/>
    <w:family w:val="auto"/>
    <w:pitch w:val="default"/>
    <w:sig w:usb0="E00002FF" w:usb1="400004FF" w:usb2="00000000" w:usb3="00000000" w:csb0="2000019F"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5" w:fontKey="{8EC543F6-59D4-4F52-AC00-E2D9B4CBF9A4}"/>
  </w:font>
  <w:font w:name="方正黑体_GBK">
    <w:panose1 w:val="03000509000000000000"/>
    <w:charset w:val="86"/>
    <w:family w:val="script"/>
    <w:pitch w:val="default"/>
    <w:sig w:usb0="00000001" w:usb1="080E0000" w:usb2="00000000" w:usb3="00000000" w:csb0="00040000" w:csb1="00000000"/>
    <w:embedRegular r:id="rId6" w:fontKey="{CA0A397F-BE83-4EC9-8FB7-584F5990A530}"/>
  </w:font>
  <w:font w:name="方正小标宋_GBK">
    <w:panose1 w:val="03000509000000000000"/>
    <w:charset w:val="86"/>
    <w:family w:val="script"/>
    <w:pitch w:val="default"/>
    <w:sig w:usb0="00000001" w:usb1="080E0000" w:usb2="00000000" w:usb3="00000000" w:csb0="00040000" w:csb1="00000000"/>
    <w:embedRegular r:id="rId7" w:fontKey="{645559B2-AB66-432F-BA70-15DE86045C25}"/>
  </w:font>
  <w:font w:name="方正楷体_GBK">
    <w:panose1 w:val="03000509000000000000"/>
    <w:charset w:val="86"/>
    <w:family w:val="script"/>
    <w:pitch w:val="default"/>
    <w:sig w:usb0="00000001" w:usb1="080E0000" w:usb2="00000000" w:usb3="00000000" w:csb0="00040000" w:csb1="00000000"/>
    <w:embedRegular r:id="rId8" w:fontKey="{FB6C95B9-223A-4797-BAD0-A065BC47DF25}"/>
  </w:font>
  <w:font w:name="WPSEMBED1">
    <w:panose1 w:val="03000509000000000000"/>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CF70A">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A520B">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404B6154">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3A6AC">
    <w:pPr>
      <w:pStyle w:val="36"/>
      <w:framePr w:wrap="around" w:vAnchor="text" w:hAnchor="margin" w:xAlign="center" w:y="1"/>
      <w:rPr>
        <w:rStyle w:val="62"/>
      </w:rPr>
    </w:pPr>
  </w:p>
  <w:p w14:paraId="6148ABF0">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54877">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- 1 -</w:t>
    </w:r>
    <w:r>
      <w:rPr>
        <w:rFonts w:ascii="宋体"/>
        <w:sz w:val="21"/>
        <w:szCs w:val="21"/>
      </w:rPr>
      <w:fldChar w:fldCharType="end"/>
    </w:r>
  </w:p>
  <w:p w14:paraId="5CDFDFC5">
    <w:pPr>
      <w:pStyle w:val="3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39F8">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88303">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14:paraId="42A06423">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A5140">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8BF34">
    <w:pPr>
      <w:pStyle w:val="37"/>
      <w:jc w:val="both"/>
      <w:rPr>
        <w:rFonts w:hint="eastAsia" w:ascii="方正仿宋_GBK" w:eastAsia="方正仿宋_GBK"/>
        <w:sz w:val="21"/>
        <w:szCs w:val="21"/>
      </w:rPr>
    </w:pP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44D74">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27004">
    <w:pPr>
      <w:pStyle w:val="37"/>
      <w:jc w:val="both"/>
      <w:rPr>
        <w:rFonts w:hint="eastAsia" w:ascii="方正仿宋_GBK" w:eastAsia="方正仿宋_GBK"/>
        <w:sz w:val="21"/>
        <w:szCs w:val="21"/>
      </w:rPr>
    </w:pPr>
    <w:r>
      <w:rPr>
        <w:rFonts w:hint="eastAsia" w:ascii="方正仿宋_GBK" w:eastAsia="方正仿宋_GBK"/>
        <w:sz w:val="21"/>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8"/>
  </w:num>
  <w:num w:numId="2">
    <w:abstractNumId w:val="5"/>
  </w:num>
  <w:num w:numId="3">
    <w:abstractNumId w:val="3"/>
  </w:num>
  <w:num w:numId="4">
    <w:abstractNumId w:val="9"/>
  </w:num>
  <w:num w:numId="5">
    <w:abstractNumId w:val="0"/>
  </w:num>
  <w:num w:numId="6">
    <w:abstractNumId w:val="6"/>
  </w:num>
  <w:num w:numId="7">
    <w:abstractNumId w:val="11"/>
  </w:num>
  <w:num w:numId="8">
    <w:abstractNumId w:val="1"/>
  </w:num>
  <w:num w:numId="9">
    <w:abstractNumId w:val="2"/>
  </w:num>
  <w:num w:numId="10">
    <w:abstractNumId w:val="7"/>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1MTk0YmUzMjYwNzM4ZGJmYmVjYTgwZDJmODUwMjIifQ=="/>
  </w:docVars>
  <w:rsids>
    <w:rsidRoot w:val="00172A27"/>
    <w:rsid w:val="000014C5"/>
    <w:rsid w:val="00002AE4"/>
    <w:rsid w:val="00003626"/>
    <w:rsid w:val="000040DE"/>
    <w:rsid w:val="000070F0"/>
    <w:rsid w:val="000075E8"/>
    <w:rsid w:val="00011B4B"/>
    <w:rsid w:val="00016B79"/>
    <w:rsid w:val="00017816"/>
    <w:rsid w:val="00025ECD"/>
    <w:rsid w:val="00032ACA"/>
    <w:rsid w:val="0003632F"/>
    <w:rsid w:val="00043835"/>
    <w:rsid w:val="0004739C"/>
    <w:rsid w:val="00051E02"/>
    <w:rsid w:val="000523C9"/>
    <w:rsid w:val="0005298B"/>
    <w:rsid w:val="0005417C"/>
    <w:rsid w:val="000576E1"/>
    <w:rsid w:val="00061A7C"/>
    <w:rsid w:val="00063981"/>
    <w:rsid w:val="00074C38"/>
    <w:rsid w:val="000816AD"/>
    <w:rsid w:val="0008179B"/>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27CB1"/>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C78"/>
    <w:rsid w:val="00573AE3"/>
    <w:rsid w:val="00581EF9"/>
    <w:rsid w:val="00583690"/>
    <w:rsid w:val="005902D9"/>
    <w:rsid w:val="0059075F"/>
    <w:rsid w:val="00596AB7"/>
    <w:rsid w:val="005A1B5C"/>
    <w:rsid w:val="005A1EA7"/>
    <w:rsid w:val="005A6A12"/>
    <w:rsid w:val="005B0724"/>
    <w:rsid w:val="005B1E46"/>
    <w:rsid w:val="005B5AA4"/>
    <w:rsid w:val="005C3F4B"/>
    <w:rsid w:val="005C42AC"/>
    <w:rsid w:val="005C4F84"/>
    <w:rsid w:val="005D2EC6"/>
    <w:rsid w:val="005D37D0"/>
    <w:rsid w:val="005D41E8"/>
    <w:rsid w:val="005D703E"/>
    <w:rsid w:val="005E1DEC"/>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56FF"/>
    <w:rsid w:val="00FA767D"/>
    <w:rsid w:val="00FB693B"/>
    <w:rsid w:val="00FC3C96"/>
    <w:rsid w:val="00FD2470"/>
    <w:rsid w:val="00FD5823"/>
    <w:rsid w:val="00FD7BE0"/>
    <w:rsid w:val="00FE1C27"/>
    <w:rsid w:val="00FE326F"/>
    <w:rsid w:val="00FE5C31"/>
    <w:rsid w:val="00FF0F20"/>
    <w:rsid w:val="00FF1B0E"/>
    <w:rsid w:val="00FF268A"/>
    <w:rsid w:val="00FF748B"/>
    <w:rsid w:val="01136B37"/>
    <w:rsid w:val="013F16F5"/>
    <w:rsid w:val="02C31095"/>
    <w:rsid w:val="037979A5"/>
    <w:rsid w:val="037D2240"/>
    <w:rsid w:val="038C566C"/>
    <w:rsid w:val="03BD3D36"/>
    <w:rsid w:val="0506793D"/>
    <w:rsid w:val="054B41B7"/>
    <w:rsid w:val="06A41BB5"/>
    <w:rsid w:val="0707335F"/>
    <w:rsid w:val="070C7656"/>
    <w:rsid w:val="074F36F5"/>
    <w:rsid w:val="08427F8F"/>
    <w:rsid w:val="08CF5A93"/>
    <w:rsid w:val="08DA3F17"/>
    <w:rsid w:val="09630EDC"/>
    <w:rsid w:val="096802A0"/>
    <w:rsid w:val="09973D38"/>
    <w:rsid w:val="09FD19BC"/>
    <w:rsid w:val="0A7A15D9"/>
    <w:rsid w:val="0B7C6285"/>
    <w:rsid w:val="0B9243C6"/>
    <w:rsid w:val="0BA17A99"/>
    <w:rsid w:val="0BAD28E2"/>
    <w:rsid w:val="0C591C03"/>
    <w:rsid w:val="0CF22664"/>
    <w:rsid w:val="0DA26C83"/>
    <w:rsid w:val="0DD759F4"/>
    <w:rsid w:val="0DFD767E"/>
    <w:rsid w:val="0EB75826"/>
    <w:rsid w:val="0F735BF1"/>
    <w:rsid w:val="0F950DA4"/>
    <w:rsid w:val="0F97417B"/>
    <w:rsid w:val="0FD7617F"/>
    <w:rsid w:val="0FDF6DE2"/>
    <w:rsid w:val="0FE642F5"/>
    <w:rsid w:val="103C4234"/>
    <w:rsid w:val="107D3DD8"/>
    <w:rsid w:val="1141477A"/>
    <w:rsid w:val="11B535EE"/>
    <w:rsid w:val="11D320E9"/>
    <w:rsid w:val="125B1B08"/>
    <w:rsid w:val="12E75B94"/>
    <w:rsid w:val="13272F7A"/>
    <w:rsid w:val="133662A0"/>
    <w:rsid w:val="133B07D3"/>
    <w:rsid w:val="147A5E14"/>
    <w:rsid w:val="14A14FAE"/>
    <w:rsid w:val="14CA0061"/>
    <w:rsid w:val="1559762A"/>
    <w:rsid w:val="15C36C57"/>
    <w:rsid w:val="15D40182"/>
    <w:rsid w:val="16381B0E"/>
    <w:rsid w:val="166C5165"/>
    <w:rsid w:val="17A1211B"/>
    <w:rsid w:val="17B31280"/>
    <w:rsid w:val="17B44FF8"/>
    <w:rsid w:val="183879D7"/>
    <w:rsid w:val="18ED7A84"/>
    <w:rsid w:val="19173BE8"/>
    <w:rsid w:val="1A136006"/>
    <w:rsid w:val="1A540C8F"/>
    <w:rsid w:val="1A6A6422"/>
    <w:rsid w:val="1B0E4A1F"/>
    <w:rsid w:val="1B530478"/>
    <w:rsid w:val="1BE834C2"/>
    <w:rsid w:val="1C20736E"/>
    <w:rsid w:val="1C4B3C21"/>
    <w:rsid w:val="1C791A8B"/>
    <w:rsid w:val="1C7F3E27"/>
    <w:rsid w:val="1C970BEB"/>
    <w:rsid w:val="1CD17BBD"/>
    <w:rsid w:val="1D0165EA"/>
    <w:rsid w:val="1D8C23A7"/>
    <w:rsid w:val="1E3E3452"/>
    <w:rsid w:val="1E8079E2"/>
    <w:rsid w:val="1EA90CE7"/>
    <w:rsid w:val="1F59095F"/>
    <w:rsid w:val="1FF1373D"/>
    <w:rsid w:val="20032679"/>
    <w:rsid w:val="20414CDB"/>
    <w:rsid w:val="2101027A"/>
    <w:rsid w:val="21246C5C"/>
    <w:rsid w:val="21535882"/>
    <w:rsid w:val="216160FD"/>
    <w:rsid w:val="21864056"/>
    <w:rsid w:val="21985CAA"/>
    <w:rsid w:val="21A954A2"/>
    <w:rsid w:val="22232177"/>
    <w:rsid w:val="22546BB0"/>
    <w:rsid w:val="230E1BEE"/>
    <w:rsid w:val="233A4603"/>
    <w:rsid w:val="23C652D1"/>
    <w:rsid w:val="244B64F0"/>
    <w:rsid w:val="250F1AC0"/>
    <w:rsid w:val="25284930"/>
    <w:rsid w:val="25AE12D9"/>
    <w:rsid w:val="25AE7C7E"/>
    <w:rsid w:val="263C5C01"/>
    <w:rsid w:val="27356C8B"/>
    <w:rsid w:val="2745597D"/>
    <w:rsid w:val="27FA25B3"/>
    <w:rsid w:val="283F446A"/>
    <w:rsid w:val="284D6B87"/>
    <w:rsid w:val="28643ED1"/>
    <w:rsid w:val="28F33BD2"/>
    <w:rsid w:val="298D79A9"/>
    <w:rsid w:val="2A734788"/>
    <w:rsid w:val="2AA01F44"/>
    <w:rsid w:val="2AD52EC4"/>
    <w:rsid w:val="2BE07D12"/>
    <w:rsid w:val="2C0C1996"/>
    <w:rsid w:val="2C11611D"/>
    <w:rsid w:val="2C3B605F"/>
    <w:rsid w:val="2C546BF6"/>
    <w:rsid w:val="2D134F12"/>
    <w:rsid w:val="2DC547F6"/>
    <w:rsid w:val="2E4861DB"/>
    <w:rsid w:val="2E760BEE"/>
    <w:rsid w:val="2E773A9C"/>
    <w:rsid w:val="2EDA335A"/>
    <w:rsid w:val="2F1F1793"/>
    <w:rsid w:val="2F285937"/>
    <w:rsid w:val="2F614259"/>
    <w:rsid w:val="2FC04636"/>
    <w:rsid w:val="2FD059A3"/>
    <w:rsid w:val="2FEA5AA6"/>
    <w:rsid w:val="30FA1DE6"/>
    <w:rsid w:val="31042B36"/>
    <w:rsid w:val="316B2341"/>
    <w:rsid w:val="31A6397F"/>
    <w:rsid w:val="31E970F6"/>
    <w:rsid w:val="321D3A6E"/>
    <w:rsid w:val="32F03107"/>
    <w:rsid w:val="33AE06F6"/>
    <w:rsid w:val="33D44600"/>
    <w:rsid w:val="33E74605"/>
    <w:rsid w:val="350C76B7"/>
    <w:rsid w:val="3568295F"/>
    <w:rsid w:val="35E0728C"/>
    <w:rsid w:val="36412EF9"/>
    <w:rsid w:val="3696421B"/>
    <w:rsid w:val="36C922EF"/>
    <w:rsid w:val="36E16BA3"/>
    <w:rsid w:val="37235FC6"/>
    <w:rsid w:val="373D22D0"/>
    <w:rsid w:val="3759426F"/>
    <w:rsid w:val="37CD37CD"/>
    <w:rsid w:val="37D72911"/>
    <w:rsid w:val="384314EA"/>
    <w:rsid w:val="389C3213"/>
    <w:rsid w:val="3941142E"/>
    <w:rsid w:val="3AD153F6"/>
    <w:rsid w:val="3BB164CD"/>
    <w:rsid w:val="3C1063F2"/>
    <w:rsid w:val="3C685A3C"/>
    <w:rsid w:val="3C72767A"/>
    <w:rsid w:val="3C7A386B"/>
    <w:rsid w:val="3D0E0B83"/>
    <w:rsid w:val="3D352C2C"/>
    <w:rsid w:val="3DC969C2"/>
    <w:rsid w:val="3E853047"/>
    <w:rsid w:val="3F1E41E5"/>
    <w:rsid w:val="3F214A8D"/>
    <w:rsid w:val="3F307EC0"/>
    <w:rsid w:val="3FBB4CA1"/>
    <w:rsid w:val="406334F2"/>
    <w:rsid w:val="408E5B37"/>
    <w:rsid w:val="41367CD9"/>
    <w:rsid w:val="41404973"/>
    <w:rsid w:val="4250770A"/>
    <w:rsid w:val="426B5884"/>
    <w:rsid w:val="426D165D"/>
    <w:rsid w:val="433B1FA6"/>
    <w:rsid w:val="43525B29"/>
    <w:rsid w:val="43993170"/>
    <w:rsid w:val="43BD1A0C"/>
    <w:rsid w:val="44E14A1E"/>
    <w:rsid w:val="452C7897"/>
    <w:rsid w:val="458B0897"/>
    <w:rsid w:val="45EC7588"/>
    <w:rsid w:val="460A46DA"/>
    <w:rsid w:val="47B53B3E"/>
    <w:rsid w:val="485321E0"/>
    <w:rsid w:val="48D071B6"/>
    <w:rsid w:val="49107A31"/>
    <w:rsid w:val="492434DC"/>
    <w:rsid w:val="49462E77"/>
    <w:rsid w:val="497B7CB3"/>
    <w:rsid w:val="49EC2A43"/>
    <w:rsid w:val="49F93CCA"/>
    <w:rsid w:val="4A5859D1"/>
    <w:rsid w:val="4A802994"/>
    <w:rsid w:val="4A857AC4"/>
    <w:rsid w:val="4B2D12E0"/>
    <w:rsid w:val="4B3F45FD"/>
    <w:rsid w:val="4BEB6B31"/>
    <w:rsid w:val="4CB701C3"/>
    <w:rsid w:val="4D3F33AD"/>
    <w:rsid w:val="4D902218"/>
    <w:rsid w:val="4DD36371"/>
    <w:rsid w:val="4E142B04"/>
    <w:rsid w:val="4FC44951"/>
    <w:rsid w:val="4FFB4A48"/>
    <w:rsid w:val="50245C76"/>
    <w:rsid w:val="504F3019"/>
    <w:rsid w:val="50F86760"/>
    <w:rsid w:val="518F18BA"/>
    <w:rsid w:val="519515C5"/>
    <w:rsid w:val="521D79C2"/>
    <w:rsid w:val="524644C3"/>
    <w:rsid w:val="52477015"/>
    <w:rsid w:val="52D92ACB"/>
    <w:rsid w:val="53760AFD"/>
    <w:rsid w:val="53816DEA"/>
    <w:rsid w:val="53B4776F"/>
    <w:rsid w:val="54A725D3"/>
    <w:rsid w:val="55007B6E"/>
    <w:rsid w:val="55515659"/>
    <w:rsid w:val="561C3637"/>
    <w:rsid w:val="56A47A0A"/>
    <w:rsid w:val="57603931"/>
    <w:rsid w:val="576A5B45"/>
    <w:rsid w:val="578F4217"/>
    <w:rsid w:val="57F624E8"/>
    <w:rsid w:val="58082E99"/>
    <w:rsid w:val="586C65B1"/>
    <w:rsid w:val="589C562D"/>
    <w:rsid w:val="595022DA"/>
    <w:rsid w:val="5A37459D"/>
    <w:rsid w:val="5A504131"/>
    <w:rsid w:val="5A5F04F9"/>
    <w:rsid w:val="5B6552D9"/>
    <w:rsid w:val="5BA429FD"/>
    <w:rsid w:val="5C021D87"/>
    <w:rsid w:val="5C695FAC"/>
    <w:rsid w:val="5CA67F0E"/>
    <w:rsid w:val="5CCD1FE3"/>
    <w:rsid w:val="5CD31049"/>
    <w:rsid w:val="5D8F6D1E"/>
    <w:rsid w:val="5DC44F64"/>
    <w:rsid w:val="5E406E33"/>
    <w:rsid w:val="5E6F5D3A"/>
    <w:rsid w:val="5FD1536C"/>
    <w:rsid w:val="5FE22B4A"/>
    <w:rsid w:val="60200932"/>
    <w:rsid w:val="603514E5"/>
    <w:rsid w:val="60602CE3"/>
    <w:rsid w:val="609C7AF3"/>
    <w:rsid w:val="60C33ECF"/>
    <w:rsid w:val="60D41BA2"/>
    <w:rsid w:val="61700C15"/>
    <w:rsid w:val="618C4A8A"/>
    <w:rsid w:val="61CE5D83"/>
    <w:rsid w:val="62C456BC"/>
    <w:rsid w:val="62F35FA1"/>
    <w:rsid w:val="63214C61"/>
    <w:rsid w:val="648543C8"/>
    <w:rsid w:val="64BE307C"/>
    <w:rsid w:val="64C25C2B"/>
    <w:rsid w:val="64FF0C2E"/>
    <w:rsid w:val="652C12F7"/>
    <w:rsid w:val="65320D6D"/>
    <w:rsid w:val="654A0B0C"/>
    <w:rsid w:val="65DF0A5F"/>
    <w:rsid w:val="661B7AE7"/>
    <w:rsid w:val="66363287"/>
    <w:rsid w:val="66451242"/>
    <w:rsid w:val="671D6D83"/>
    <w:rsid w:val="67FB136A"/>
    <w:rsid w:val="687935F6"/>
    <w:rsid w:val="6A2A0513"/>
    <w:rsid w:val="6A883473"/>
    <w:rsid w:val="6B2A713F"/>
    <w:rsid w:val="6BC30A2F"/>
    <w:rsid w:val="6BEC17E0"/>
    <w:rsid w:val="6BF41002"/>
    <w:rsid w:val="6C1615E4"/>
    <w:rsid w:val="6D1115E7"/>
    <w:rsid w:val="6D5263BD"/>
    <w:rsid w:val="6DA1535B"/>
    <w:rsid w:val="6DE73514"/>
    <w:rsid w:val="6E706623"/>
    <w:rsid w:val="6E755ABD"/>
    <w:rsid w:val="6FE969BF"/>
    <w:rsid w:val="70630B1B"/>
    <w:rsid w:val="70CD7E32"/>
    <w:rsid w:val="71A55054"/>
    <w:rsid w:val="71E82B1C"/>
    <w:rsid w:val="71E93575"/>
    <w:rsid w:val="72055915"/>
    <w:rsid w:val="72587BCF"/>
    <w:rsid w:val="73086B16"/>
    <w:rsid w:val="734A6306"/>
    <w:rsid w:val="73B40E35"/>
    <w:rsid w:val="73BF185E"/>
    <w:rsid w:val="740F334C"/>
    <w:rsid w:val="74D13C69"/>
    <w:rsid w:val="74D70DF7"/>
    <w:rsid w:val="75EA4FE2"/>
    <w:rsid w:val="75F30BFF"/>
    <w:rsid w:val="760140DA"/>
    <w:rsid w:val="76D90FCE"/>
    <w:rsid w:val="77A13DC6"/>
    <w:rsid w:val="783B7D77"/>
    <w:rsid w:val="785250C1"/>
    <w:rsid w:val="786442B2"/>
    <w:rsid w:val="789F3DA6"/>
    <w:rsid w:val="78A52377"/>
    <w:rsid w:val="78F023DA"/>
    <w:rsid w:val="79621C45"/>
    <w:rsid w:val="796E1AAF"/>
    <w:rsid w:val="79973381"/>
    <w:rsid w:val="79AD7A18"/>
    <w:rsid w:val="7A013A8B"/>
    <w:rsid w:val="7A013DE6"/>
    <w:rsid w:val="7A85177D"/>
    <w:rsid w:val="7AD41DBD"/>
    <w:rsid w:val="7B187EFC"/>
    <w:rsid w:val="7B22169F"/>
    <w:rsid w:val="7B253C0B"/>
    <w:rsid w:val="7B5B7497"/>
    <w:rsid w:val="7BCE58EE"/>
    <w:rsid w:val="7C1D7794"/>
    <w:rsid w:val="7C8C7649"/>
    <w:rsid w:val="7CEE1636"/>
    <w:rsid w:val="7D7A638F"/>
    <w:rsid w:val="7E6F453F"/>
    <w:rsid w:val="7EFC0A32"/>
    <w:rsid w:val="7F1D649E"/>
    <w:rsid w:val="7F820039"/>
    <w:rsid w:val="7FA112F3"/>
    <w:rsid w:val="7FA610A8"/>
    <w:rsid w:val="7FB22255"/>
    <w:rsid w:val="7FBC5447"/>
    <w:rsid w:val="7FC06DB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outlineLvl w:val="0"/>
    </w:pPr>
    <w:rPr>
      <w:rFonts w:ascii="宋体"/>
    </w:rPr>
  </w:style>
  <w:style w:type="paragraph" w:styleId="3">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Lines="0"/>
    </w:pPr>
    <w:rPr>
      <w:rFonts w:ascii="Arial" w:hAnsi="Arial"/>
      <w:sz w:val="24"/>
    </w:rPr>
  </w:style>
  <w:style w:type="paragraph" w:styleId="19">
    <w:name w:val="annotation text"/>
    <w:basedOn w:val="1"/>
    <w:link w:val="70"/>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afterLines="0" w:afterAutospacing="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23"/>
    <w:qFormat/>
    <w:uiPriority w:val="0"/>
    <w:rPr>
      <w:rFonts w:ascii="仿宋_GB2312" w:eastAsia="仿宋_GB2312"/>
      <w:sz w:val="32"/>
    </w:rPr>
  </w:style>
  <w:style w:type="paragraph" w:styleId="23">
    <w:name w:val="Body Text First Indent"/>
    <w:basedOn w:val="22"/>
    <w:qFormat/>
    <w:uiPriority w:val="0"/>
    <w:pPr>
      <w:spacing w:line="360" w:lineRule="auto"/>
      <w:ind w:firstLine="420"/>
    </w:pPr>
    <w:rPr>
      <w:rFonts w:ascii="宋体" w:hAnsi="宋体"/>
      <w:sz w:val="24"/>
    </w:rPr>
  </w:style>
  <w:style w:type="paragraph" w:styleId="24">
    <w:name w:val="Body Text Indent"/>
    <w:basedOn w:val="1"/>
    <w:link w:val="71"/>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2"/>
    <w:qFormat/>
    <w:uiPriority w:val="0"/>
  </w:style>
  <w:style w:type="paragraph" w:styleId="34">
    <w:name w:val="Body Text Indent 2"/>
    <w:basedOn w:val="1"/>
    <w:link w:val="73"/>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4"/>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Message Header"/>
    <w:next w:val="22"/>
    <w:qFormat/>
    <w:uiPriority w:val="0"/>
    <w:pPr>
      <w:widowControl w:val="0"/>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both"/>
    </w:pPr>
    <w:rPr>
      <w:rFonts w:ascii="Cambria" w:hAnsi="Cambria" w:eastAsia="宋体" w:cs="Times New Roman"/>
      <w:kern w:val="2"/>
      <w:sz w:val="24"/>
      <w:szCs w:val="24"/>
      <w:lang w:val="en-US" w:eastAsia="zh-CN" w:bidi="ar-SA"/>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19"/>
    <w:next w:val="19"/>
    <w:link w:val="75"/>
    <w:qFormat/>
    <w:uiPriority w:val="0"/>
    <w:pPr>
      <w:adjustRightInd/>
      <w:spacing w:line="240" w:lineRule="auto"/>
      <w:textAlignment w:val="auto"/>
    </w:pPr>
  </w:style>
  <w:style w:type="paragraph" w:styleId="57">
    <w:name w:val="Body Text First Indent 2"/>
    <w:basedOn w:val="24"/>
    <w:link w:val="76"/>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character" w:customStyle="1" w:styleId="68">
    <w:name w:val="标题 2 Char"/>
    <w:link w:val="3"/>
    <w:qFormat/>
    <w:uiPriority w:val="0"/>
    <w:rPr>
      <w:rFonts w:ascii="Arial" w:hAnsi="Arial" w:eastAsia="黑体"/>
      <w:b/>
      <w:kern w:val="2"/>
      <w:sz w:val="32"/>
    </w:rPr>
  </w:style>
  <w:style w:type="character" w:customStyle="1" w:styleId="69">
    <w:name w:val="标题 3 Char"/>
    <w:link w:val="4"/>
    <w:qFormat/>
    <w:uiPriority w:val="0"/>
    <w:rPr>
      <w:rFonts w:eastAsia="宋体"/>
      <w:b/>
      <w:kern w:val="2"/>
      <w:sz w:val="32"/>
      <w:lang w:val="en-US" w:eastAsia="zh-CN"/>
    </w:rPr>
  </w:style>
  <w:style w:type="character" w:customStyle="1" w:styleId="70">
    <w:name w:val="批注文字 Char"/>
    <w:link w:val="19"/>
    <w:qFormat/>
    <w:uiPriority w:val="0"/>
    <w:rPr>
      <w:sz w:val="24"/>
    </w:rPr>
  </w:style>
  <w:style w:type="character" w:customStyle="1" w:styleId="71">
    <w:name w:val="正文文本缩进 Char"/>
    <w:link w:val="24"/>
    <w:qFormat/>
    <w:uiPriority w:val="0"/>
    <w:rPr>
      <w:kern w:val="2"/>
      <w:sz w:val="44"/>
    </w:rPr>
  </w:style>
  <w:style w:type="character" w:customStyle="1" w:styleId="72">
    <w:name w:val="日期 Char"/>
    <w:link w:val="33"/>
    <w:qFormat/>
    <w:uiPriority w:val="0"/>
    <w:rPr>
      <w:kern w:val="2"/>
      <w:sz w:val="28"/>
    </w:rPr>
  </w:style>
  <w:style w:type="character" w:customStyle="1" w:styleId="73">
    <w:name w:val="正文文本缩进 2 Char"/>
    <w:link w:val="34"/>
    <w:qFormat/>
    <w:uiPriority w:val="0"/>
    <w:rPr>
      <w:kern w:val="2"/>
      <w:sz w:val="28"/>
    </w:rPr>
  </w:style>
  <w:style w:type="character" w:customStyle="1" w:styleId="74">
    <w:name w:val="脚注文本 Char"/>
    <w:link w:val="41"/>
    <w:qFormat/>
    <w:uiPriority w:val="0"/>
    <w:rPr>
      <w:kern w:val="2"/>
      <w:sz w:val="18"/>
    </w:rPr>
  </w:style>
  <w:style w:type="character" w:customStyle="1" w:styleId="75">
    <w:name w:val="批注主题 Char"/>
    <w:link w:val="56"/>
    <w:qFormat/>
    <w:uiPriority w:val="0"/>
  </w:style>
  <w:style w:type="character" w:customStyle="1" w:styleId="76">
    <w:name w:val="正文首行缩进 2 Char"/>
    <w:link w:val="57"/>
    <w:qFormat/>
    <w:uiPriority w:val="0"/>
  </w:style>
  <w:style w:type="paragraph" w:customStyle="1" w:styleId="77">
    <w:name w:val="Default"/>
    <w:basedOn w:val="31"/>
    <w:qFormat/>
    <w:uiPriority w:val="0"/>
    <w:pPr>
      <w:widowControl w:val="0"/>
      <w:autoSpaceDE w:val="0"/>
      <w:autoSpaceDN w:val="0"/>
      <w:adjustRightInd w:val="0"/>
    </w:pPr>
    <w:rPr>
      <w:rFonts w:ascii="宋体"/>
      <w:color w:val="000000"/>
      <w:sz w:val="24"/>
      <w:lang w:val="en-US" w:eastAsia="zh-CN" w:bidi="ar-SA"/>
    </w:rPr>
  </w:style>
  <w:style w:type="paragraph" w:customStyle="1" w:styleId="78">
    <w:name w:val="Heading4"/>
    <w:next w:val="1"/>
    <w:qFormat/>
    <w:uiPriority w:val="0"/>
    <w:pPr>
      <w:keepNext/>
      <w:keepLines/>
      <w:spacing w:before="260" w:after="260" w:line="372" w:lineRule="auto"/>
      <w:jc w:val="both"/>
      <w:textAlignment w:val="baseline"/>
    </w:pPr>
    <w:rPr>
      <w:rFonts w:ascii="Arial" w:hAnsi="Arial" w:eastAsia="黑体" w:cs="Times New Roman"/>
      <w:b/>
      <w:bCs/>
      <w:kern w:val="2"/>
      <w:sz w:val="28"/>
      <w:szCs w:val="32"/>
      <w:lang w:val="en-US" w:eastAsia="en-US" w:bidi="ar-SA"/>
    </w:rPr>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4"/>
    <w:next w:val="23"/>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5"/>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2"/>
    <w:next w:val="2"/>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9"/>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5">
    <w:name w:val="标题2"/>
    <w:basedOn w:val="3"/>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5"/>
    <w:qFormat/>
    <w:uiPriority w:val="0"/>
    <w:pPr>
      <w:numPr>
        <w:ilvl w:val="0"/>
        <w:numId w:val="7"/>
      </w:numPr>
      <w:spacing w:before="560" w:beforeLines="0" w:line="400" w:lineRule="exact"/>
      <w:jc w:val="center"/>
      <w:outlineLvl w:val="0"/>
    </w:pPr>
    <w:rPr>
      <w:b w:val="0"/>
      <w:sz w:val="44"/>
    </w:rPr>
  </w:style>
  <w:style w:type="paragraph" w:customStyle="1" w:styleId="141">
    <w:name w:val="内容标题"/>
    <w:basedOn w:val="17"/>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7"/>
    <w:qFormat/>
    <w:uiPriority w:val="0"/>
    <w:rPr>
      <w:rFonts w:ascii="宋体" w:hAnsi="Tahoma"/>
    </w:rPr>
  </w:style>
  <w:style w:type="paragraph" w:customStyle="1" w:styleId="147">
    <w:name w:val="样式 标题 6第五层条 + 三号 段前: 0.5 行"/>
    <w:basedOn w:val="7"/>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5"/>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5"/>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9"/>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4"/>
    <w:qFormat/>
    <w:uiPriority w:val="0"/>
    <w:pPr>
      <w:numPr>
        <w:ilvl w:val="2"/>
        <w:numId w:val="2"/>
      </w:numPr>
      <w:tabs>
        <w:tab w:val="left" w:pos="709"/>
        <w:tab w:val="left" w:pos="1620"/>
      </w:tabs>
      <w:spacing w:line="413" w:lineRule="auto"/>
    </w:pPr>
  </w:style>
  <w:style w:type="paragraph" w:customStyle="1" w:styleId="175">
    <w:name w:val="样式4"/>
    <w:basedOn w:val="5"/>
    <w:qFormat/>
    <w:uiPriority w:val="0"/>
    <w:pPr>
      <w:adjustRightInd w:val="0"/>
      <w:snapToGrid w:val="0"/>
    </w:pPr>
  </w:style>
  <w:style w:type="paragraph" w:customStyle="1" w:styleId="176">
    <w:name w:val="摘要"/>
    <w:basedOn w:val="1"/>
    <w:next w:val="3"/>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5"/>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2"/>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0"/>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2"/>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1"/>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2"/>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38">
    <w:name w:val="*正文"/>
    <w:basedOn w:val="1"/>
    <w:qFormat/>
    <w:uiPriority w:val="0"/>
    <w:pPr>
      <w:widowControl/>
      <w:spacing w:line="360" w:lineRule="auto"/>
      <w:ind w:firstLine="480" w:firstLineChars="200"/>
    </w:pPr>
    <w:rPr>
      <w:rFonts w:eastAsia="仿宋_GB2312"/>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33</Pages>
  <Words>9635</Words>
  <Characters>10151</Characters>
  <Lines>155</Lines>
  <Paragraphs>43</Paragraphs>
  <TotalTime>5</TotalTime>
  <ScaleCrop>false</ScaleCrop>
  <LinksUpToDate>false</LinksUpToDate>
  <CharactersWithSpaces>10350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2022-06-21T08:00:00Z</dcterms:created>
  <dc:creator>周媛媛</dc:creator>
  <cp:lastModifiedBy>一</cp:lastModifiedBy>
  <cp:lastPrinted>2026-04-28T08:39:00Z</cp:lastPrinted>
  <dcterms:modified xsi:type="dcterms:W3CDTF">2026-05-12T01:58:49Z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28F5A79361A74B7E80D450280B88183E_13</vt:lpwstr>
  </property>
  <property fmtid="{D5CDD505-2E9C-101B-9397-08002B2CF9AE}" pid="4" name="KSOTemplateDocerSaveRecord">
    <vt:lpwstr>eyJoZGlkIjoiMzgyNDk1NWMxMjQwMTJkMmExZGIxNmYyYzBiZTcxZjEiLCJ1c2VySWQiOiIxNDQ1MDc0OSJ9</vt:lpwstr>
  </property>
</Properties>
</file>