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重庆市总工会南</w:t>
      </w:r>
      <w:bookmarkStart w:id="0" w:name="_GoBack"/>
      <w:bookmarkEnd w:id="0"/>
      <w:r>
        <w:rPr>
          <w:rFonts w:ascii="方正小标宋_GBK" w:hAnsi="方正小标宋_GBK" w:eastAsia="方正小标宋_GBK" w:cs="方正小标宋_GBK"/>
          <w:sz w:val="44"/>
          <w:szCs w:val="44"/>
        </w:rPr>
        <w:t>温泉疗养院</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方正小标宋_GBK" w:hAnsi="方正小标宋_GBK" w:eastAsia="方正小标宋_GBK" w:cs="方正小标宋_GBK"/>
          <w:sz w:val="44"/>
          <w:szCs w:val="44"/>
          <w:shd w:val="clear" w:color="auto" w:fill="FFFFFF"/>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一、单位基本情况</w:t>
      </w:r>
    </w:p>
    <w:p>
      <w:pPr>
        <w:keepNext w:val="0"/>
        <w:keepLines w:val="0"/>
        <w:pageBreakBefore w:val="0"/>
        <w:widowControl/>
        <w:numPr>
          <w:ilvl w:val="0"/>
          <w:numId w:val="0"/>
        </w:numPr>
        <w:kinsoku/>
        <w:wordWrap/>
        <w:overflowPunct/>
        <w:topLinePunct w:val="0"/>
        <w:autoSpaceDN/>
        <w:bidi w:val="0"/>
        <w:adjustRightInd w:val="0"/>
        <w:snapToGrid w:val="0"/>
        <w:spacing w:line="594" w:lineRule="exact"/>
        <w:ind w:firstLine="640" w:firstLineChars="200"/>
        <w:jc w:val="both"/>
        <w:textAlignment w:val="auto"/>
        <w:rPr>
          <w:rStyle w:val="10"/>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lang w:val="en-US" w:eastAsia="zh-CN"/>
        </w:rPr>
        <w:t>我单位是重庆市总工会直属公益二类事业单位，单位编制人数</w:t>
      </w:r>
      <w:r>
        <w:rPr>
          <w:rFonts w:hint="default" w:ascii="方正仿宋_GBK" w:hAnsi="方正仿宋_GBK" w:eastAsia="方正仿宋_GBK" w:cs="方正仿宋_GBK"/>
          <w:sz w:val="32"/>
          <w:szCs w:val="32"/>
          <w:lang w:eastAsia="zh-CN"/>
        </w:rPr>
        <w:t>35</w:t>
      </w:r>
      <w:r>
        <w:rPr>
          <w:rFonts w:hint="eastAsia" w:ascii="方正仿宋_GBK" w:hAnsi="方正仿宋_GBK" w:eastAsia="方正仿宋_GBK" w:cs="方正仿宋_GBK"/>
          <w:sz w:val="32"/>
          <w:szCs w:val="32"/>
          <w:lang w:val="en-US" w:eastAsia="zh-CN"/>
        </w:rPr>
        <w:t>人，实有在职职工人数8人(拟新增</w:t>
      </w:r>
      <w:r>
        <w:rPr>
          <w:rFonts w:hint="default"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人），离休职工人数1人，退休职工人数8</w:t>
      </w:r>
      <w:r>
        <w:rPr>
          <w:rFonts w:hint="default"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人。业务范围：提供职工疗休养服务，开展诊疗康复服务，开展预防保健与健康教育工作，提供老年护养服务。编制床位344张，实际开放床位507张。</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numPr>
          <w:ilvl w:val="0"/>
          <w:numId w:val="0"/>
        </w:numPr>
        <w:kinsoku/>
        <w:wordWrap/>
        <w:overflowPunct/>
        <w:topLinePunct w:val="0"/>
        <w:autoSpaceDN/>
        <w:bidi w:val="0"/>
        <w:adjustRightInd w:val="0"/>
        <w:snapToGrid w:val="0"/>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1、提供职工疗休养服务。主要包括为劳动模范、先进生产者、职工群众等群体提供慢性病、职业病康复理疗、护理及休养服务。</w:t>
      </w:r>
    </w:p>
    <w:p>
      <w:pPr>
        <w:keepNext w:val="0"/>
        <w:keepLines w:val="0"/>
        <w:pageBreakBefore w:val="0"/>
        <w:widowControl/>
        <w:numPr>
          <w:ilvl w:val="0"/>
          <w:numId w:val="0"/>
        </w:numPr>
        <w:kinsoku/>
        <w:wordWrap/>
        <w:overflowPunct/>
        <w:topLinePunct w:val="0"/>
        <w:autoSpaceDN/>
        <w:bidi w:val="0"/>
        <w:adjustRightInd w:val="0"/>
        <w:snapToGrid w:val="0"/>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2、开展诊疗康复服务。主要包括在资质范围内开展常见病、多发病等疾病的诊疗、护理及康复服务。</w:t>
      </w:r>
    </w:p>
    <w:p>
      <w:pPr>
        <w:keepNext w:val="0"/>
        <w:keepLines w:val="0"/>
        <w:pageBreakBefore w:val="0"/>
        <w:widowControl/>
        <w:numPr>
          <w:ilvl w:val="0"/>
          <w:numId w:val="0"/>
        </w:numPr>
        <w:kinsoku/>
        <w:wordWrap/>
        <w:overflowPunct/>
        <w:topLinePunct w:val="0"/>
        <w:autoSpaceDN/>
        <w:bidi w:val="0"/>
        <w:adjustRightInd w:val="0"/>
        <w:snapToGrid w:val="0"/>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3、开展预防保健与健康教育工作。主要包括负责责任区域内传染病的发现、报告、救治、预防等工作；提供重点人群保健、健康管理服务；开展多种形式的健康教育与健康促进。</w:t>
      </w:r>
    </w:p>
    <w:p>
      <w:pPr>
        <w:keepNext w:val="0"/>
        <w:keepLines w:val="0"/>
        <w:pageBreakBefore w:val="0"/>
        <w:widowControl/>
        <w:numPr>
          <w:ilvl w:val="0"/>
          <w:numId w:val="0"/>
        </w:numPr>
        <w:kinsoku/>
        <w:wordWrap/>
        <w:overflowPunct/>
        <w:topLinePunct w:val="0"/>
        <w:autoSpaceDN/>
        <w:bidi w:val="0"/>
        <w:adjustRightInd w:val="0"/>
        <w:snapToGrid w:val="0"/>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4、提供老年护养服务。主要包括在资质范围内为老年人提供住养、生活护理、康复、托管等服务。</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bidi="ar-SA"/>
        </w:rPr>
        <w:t>我院为重庆市总工会下属二级预算财政补助事业单位，根据上述职责，内部机构设置有：办公室、财务科、医养中心、疗休养中心、总务科。现有在编职工8人，离休1人，退休8</w:t>
      </w:r>
      <w:r>
        <w:rPr>
          <w:rFonts w:hint="default" w:ascii="方正仿宋_GBK" w:hAnsi="方正仿宋_GBK" w:eastAsia="方正仿宋_GBK" w:cs="方正仿宋_GBK"/>
          <w:sz w:val="32"/>
          <w:szCs w:val="32"/>
          <w:lang w:val="en-US" w:eastAsia="zh-CN" w:bidi="ar-SA"/>
        </w:rPr>
        <w:t>2</w:t>
      </w:r>
      <w:r>
        <w:rPr>
          <w:rFonts w:hint="eastAsia" w:ascii="方正仿宋_GBK" w:hAnsi="方正仿宋_GBK" w:eastAsia="方正仿宋_GBK" w:cs="方正仿宋_GBK"/>
          <w:sz w:val="32"/>
          <w:szCs w:val="32"/>
          <w:lang w:val="en-US" w:eastAsia="zh-CN" w:bidi="ar-SA"/>
        </w:rPr>
        <w:t>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bidi="ar-SA"/>
        </w:rPr>
      </w:pP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w:t>
      </w:r>
      <w:r>
        <w:rPr>
          <w:rFonts w:hint="default" w:ascii="方正仿宋_GBK" w:hAnsi="方正仿宋_GBK" w:eastAsia="方正仿宋_GBK" w:cs="方正仿宋_GBK"/>
          <w:sz w:val="32"/>
          <w:szCs w:val="32"/>
          <w:lang w:val="en-US" w:eastAsia="zh-CN" w:bidi="ar-SA"/>
        </w:rPr>
        <w:t>财政拨款</w:t>
      </w:r>
      <w:r>
        <w:rPr>
          <w:rFonts w:hint="eastAsia" w:ascii="方正仿宋_GBK" w:hAnsi="方正仿宋_GBK" w:eastAsia="方正仿宋_GBK" w:cs="方正仿宋_GBK"/>
          <w:sz w:val="32"/>
          <w:szCs w:val="32"/>
          <w:lang w:val="en-US" w:eastAsia="zh-CN" w:bidi="ar-SA"/>
        </w:rPr>
        <w:t>收</w:t>
      </w:r>
      <w:r>
        <w:rPr>
          <w:rFonts w:hint="default" w:ascii="方正仿宋_GBK" w:hAnsi="方正仿宋_GBK" w:eastAsia="方正仿宋_GBK" w:cs="方正仿宋_GBK"/>
          <w:sz w:val="32"/>
          <w:szCs w:val="32"/>
          <w:lang w:val="en-US" w:eastAsia="zh-CN" w:bidi="ar-SA"/>
        </w:rPr>
        <w:t>入</w:t>
      </w:r>
      <w:r>
        <w:rPr>
          <w:rFonts w:hint="eastAsia" w:ascii="方正仿宋_GBK" w:hAnsi="方正仿宋_GBK" w:eastAsia="方正仿宋_GBK" w:cs="方正仿宋_GBK"/>
          <w:sz w:val="32"/>
          <w:szCs w:val="32"/>
          <w:lang w:val="en-US" w:eastAsia="zh-CN" w:bidi="ar-SA"/>
        </w:rPr>
        <w:t>、支</w:t>
      </w:r>
      <w:r>
        <w:rPr>
          <w:rFonts w:hint="default" w:ascii="方正仿宋_GBK" w:hAnsi="方正仿宋_GBK" w:eastAsia="方正仿宋_GBK" w:cs="方正仿宋_GBK"/>
          <w:sz w:val="32"/>
          <w:szCs w:val="32"/>
          <w:lang w:val="en-US" w:eastAsia="zh-CN" w:bidi="ar-SA"/>
        </w:rPr>
        <w:t>出</w:t>
      </w:r>
      <w:r>
        <w:rPr>
          <w:rFonts w:hint="eastAsia" w:ascii="方正仿宋_GBK" w:hAnsi="方正仿宋_GBK" w:eastAsia="方正仿宋_GBK" w:cs="方正仿宋_GBK"/>
          <w:sz w:val="32"/>
          <w:szCs w:val="32"/>
          <w:lang w:val="en-US" w:eastAsia="zh-CN" w:bidi="ar-SA"/>
        </w:rPr>
        <w:t>总计均为</w:t>
      </w:r>
      <w:r>
        <w:rPr>
          <w:rFonts w:hint="default" w:ascii="方正仿宋_GBK" w:hAnsi="方正仿宋_GBK" w:eastAsia="方正仿宋_GBK" w:cs="方正仿宋_GBK"/>
          <w:sz w:val="32"/>
          <w:szCs w:val="32"/>
          <w:lang w:val="en-US" w:eastAsia="zh-CN" w:bidi="ar-SA"/>
        </w:rPr>
        <w:t>58.00</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财政拨款</w:t>
      </w:r>
      <w:r>
        <w:rPr>
          <w:rFonts w:hint="eastAsia" w:ascii="方正仿宋_GBK" w:hAnsi="方正仿宋_GBK" w:eastAsia="方正仿宋_GBK" w:cs="方正仿宋_GBK"/>
          <w:sz w:val="32"/>
          <w:szCs w:val="32"/>
          <w:lang w:val="en-US" w:eastAsia="zh-CN" w:bidi="ar-SA"/>
        </w:rPr>
        <w:t>收</w:t>
      </w:r>
      <w:r>
        <w:rPr>
          <w:rFonts w:hint="default" w:ascii="方正仿宋_GBK" w:hAnsi="方正仿宋_GBK" w:eastAsia="方正仿宋_GBK" w:cs="方正仿宋_GBK"/>
          <w:sz w:val="32"/>
          <w:szCs w:val="32"/>
          <w:lang w:val="en-US" w:eastAsia="zh-CN" w:bidi="ar-SA"/>
        </w:rPr>
        <w:t>入</w:t>
      </w:r>
      <w:r>
        <w:rPr>
          <w:rFonts w:hint="eastAsia" w:ascii="方正仿宋_GBK" w:hAnsi="方正仿宋_GBK" w:eastAsia="方正仿宋_GBK" w:cs="方正仿宋_GBK"/>
          <w:sz w:val="32"/>
          <w:szCs w:val="32"/>
          <w:lang w:val="en-US" w:eastAsia="zh-CN" w:bidi="ar-SA"/>
        </w:rPr>
        <w:t>、支</w:t>
      </w:r>
      <w:r>
        <w:rPr>
          <w:rFonts w:hint="default" w:ascii="方正仿宋_GBK" w:hAnsi="方正仿宋_GBK" w:eastAsia="方正仿宋_GBK" w:cs="方正仿宋_GBK"/>
          <w:sz w:val="32"/>
          <w:szCs w:val="32"/>
          <w:lang w:val="en-US" w:eastAsia="zh-CN" w:bidi="ar-SA"/>
        </w:rPr>
        <w:t>出与2023年度相比，无增减</w:t>
      </w:r>
      <w:r>
        <w:rPr>
          <w:rFonts w:hint="eastAsia" w:ascii="方正仿宋_GBK" w:hAnsi="方正仿宋_GBK" w:eastAsia="方正仿宋_GBK" w:cs="方正仿宋_GBK"/>
          <w:sz w:val="32"/>
          <w:szCs w:val="32"/>
          <w:lang w:val="en-US" w:eastAsia="zh-CN" w:bidi="ar-SA"/>
        </w:rPr>
        <w:t>，主要原因是我单位为财政定额拨款单位，目前财政每年定额拨款58.00万元。</w:t>
      </w:r>
    </w:p>
    <w:p>
      <w:pPr>
        <w:keepNext w:val="0"/>
        <w:keepLines w:val="0"/>
        <w:pageBreakBefore w:val="0"/>
        <w:widowControl/>
        <w:numPr>
          <w:ilvl w:val="0"/>
          <w:numId w:val="0"/>
        </w:numPr>
        <w:kinsoku/>
        <w:wordWrap/>
        <w:overflowPunct/>
        <w:topLinePunct w:val="0"/>
        <w:autoSpaceDN/>
        <w:bidi w:val="0"/>
        <w:adjustRightInd w:val="0"/>
        <w:snapToGrid w:val="0"/>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1.收入情况。</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年度收入合计</w:t>
      </w:r>
      <w:r>
        <w:rPr>
          <w:rFonts w:hint="default" w:ascii="方正仿宋_GBK" w:hAnsi="方正仿宋_GBK" w:eastAsia="方正仿宋_GBK" w:cs="方正仿宋_GBK"/>
          <w:sz w:val="32"/>
          <w:szCs w:val="32"/>
          <w:lang w:val="en-US" w:eastAsia="zh-CN"/>
        </w:rPr>
        <w:t>58.00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，主要原因是我单位为财政定额拨款单位，目前财政每年定额拨款58.00万元。其中：财政拨款收入</w:t>
      </w:r>
      <w:r>
        <w:rPr>
          <w:rFonts w:hint="default" w:ascii="方正仿宋_GBK" w:hAnsi="方正仿宋_GBK" w:eastAsia="方正仿宋_GBK" w:cs="方正仿宋_GBK"/>
          <w:sz w:val="32"/>
          <w:szCs w:val="32"/>
          <w:lang w:val="en-US" w:eastAsia="zh-CN"/>
        </w:rPr>
        <w:t>58.00</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100.00%</w:t>
      </w:r>
      <w:r>
        <w:rPr>
          <w:rFonts w:hint="eastAsia" w:ascii="方正仿宋_GBK" w:hAnsi="方正仿宋_GBK" w:eastAsia="方正仿宋_GBK" w:cs="方正仿宋_GBK"/>
          <w:sz w:val="32"/>
          <w:szCs w:val="32"/>
          <w:lang w:val="en-US" w:eastAsia="zh-CN"/>
        </w:rPr>
        <w:t>；事业收入</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；经营收入</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；其他收入</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。此外，使用非财政拨款结余和专用结余</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万元，年初结转和结余</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2.支出情况。</w:t>
      </w: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年度支出合计</w:t>
      </w:r>
      <w:r>
        <w:rPr>
          <w:rFonts w:hint="default" w:ascii="方正仿宋_GBK" w:hAnsi="方正仿宋_GBK" w:eastAsia="方正仿宋_GBK" w:cs="方正仿宋_GBK"/>
          <w:sz w:val="32"/>
          <w:szCs w:val="32"/>
          <w:lang w:val="en-US" w:eastAsia="zh-CN" w:bidi="ar-SA"/>
        </w:rPr>
        <w:t>58.00</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与2023年度相比，无增减</w:t>
      </w:r>
      <w:r>
        <w:rPr>
          <w:rFonts w:hint="eastAsia" w:ascii="方正仿宋_GBK" w:hAnsi="方正仿宋_GBK" w:eastAsia="方正仿宋_GBK" w:cs="方正仿宋_GBK"/>
          <w:sz w:val="32"/>
          <w:szCs w:val="32"/>
          <w:lang w:val="en-US" w:eastAsia="zh-CN" w:bidi="ar-SA"/>
        </w:rPr>
        <w:t>，主要原因是我单位为财政定额拨款单位，目前财政每年定额拨款58.00万元。其中：基本支出</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；项目支出</w:t>
      </w:r>
      <w:r>
        <w:rPr>
          <w:rFonts w:hint="default" w:ascii="方正仿宋_GBK" w:hAnsi="方正仿宋_GBK" w:eastAsia="方正仿宋_GBK" w:cs="方正仿宋_GBK"/>
          <w:sz w:val="32"/>
          <w:szCs w:val="32"/>
          <w:lang w:val="en-US" w:eastAsia="zh-CN" w:bidi="ar-SA"/>
        </w:rPr>
        <w:t>58.00</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100.00%</w:t>
      </w:r>
      <w:r>
        <w:rPr>
          <w:rFonts w:hint="eastAsia" w:ascii="方正仿宋_GBK" w:hAnsi="方正仿宋_GBK" w:eastAsia="方正仿宋_GBK" w:cs="方正仿宋_GBK"/>
          <w:sz w:val="32"/>
          <w:szCs w:val="32"/>
          <w:lang w:val="en-US" w:eastAsia="zh-CN" w:bidi="ar-SA"/>
        </w:rPr>
        <w:t>；经营支出</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。此外，结余分配</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3.结转结余情况。</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年度年末结转和结余</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，主要原因是我单位严格执行收支平衡，无结转结余。</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年度财政拨款收</w:t>
      </w:r>
      <w:r>
        <w:rPr>
          <w:rFonts w:hint="default" w:ascii="方正仿宋_GBK" w:hAnsi="方正仿宋_GBK" w:eastAsia="方正仿宋_GBK" w:cs="方正仿宋_GBK"/>
          <w:sz w:val="32"/>
          <w:szCs w:val="32"/>
          <w:lang w:val="en-US" w:eastAsia="zh-CN"/>
        </w:rPr>
        <w:t>入</w:t>
      </w:r>
      <w:r>
        <w:rPr>
          <w:rFonts w:hint="eastAsia" w:ascii="方正仿宋_GBK" w:hAnsi="方正仿宋_GBK" w:eastAsia="方正仿宋_GBK" w:cs="方正仿宋_GBK"/>
          <w:sz w:val="32"/>
          <w:szCs w:val="32"/>
          <w:lang w:val="en-US" w:eastAsia="zh-CN"/>
        </w:rPr>
        <w:t>、支</w:t>
      </w:r>
      <w:r>
        <w:rPr>
          <w:rFonts w:hint="default" w:ascii="方正仿宋_GBK" w:hAnsi="方正仿宋_GBK" w:eastAsia="方正仿宋_GBK" w:cs="方正仿宋_GBK"/>
          <w:sz w:val="32"/>
          <w:szCs w:val="32"/>
          <w:lang w:val="en-US" w:eastAsia="zh-CN"/>
        </w:rPr>
        <w:t>出</w:t>
      </w:r>
      <w:r>
        <w:rPr>
          <w:rFonts w:hint="eastAsia" w:ascii="方正仿宋_GBK" w:hAnsi="方正仿宋_GBK" w:eastAsia="方正仿宋_GBK" w:cs="方正仿宋_GBK"/>
          <w:sz w:val="32"/>
          <w:szCs w:val="32"/>
          <w:lang w:val="en-US" w:eastAsia="zh-CN"/>
        </w:rPr>
        <w:t>总计均为</w:t>
      </w:r>
      <w:r>
        <w:rPr>
          <w:rFonts w:hint="default" w:ascii="方正仿宋_GBK" w:hAnsi="方正仿宋_GBK" w:eastAsia="方正仿宋_GBK" w:cs="方正仿宋_GBK"/>
          <w:sz w:val="32"/>
          <w:szCs w:val="32"/>
          <w:lang w:val="en-US" w:eastAsia="zh-CN"/>
        </w:rPr>
        <w:t>58.00</w:t>
      </w:r>
      <w:r>
        <w:rPr>
          <w:rFonts w:hint="eastAsia" w:ascii="方正仿宋_GBK" w:hAnsi="方正仿宋_GBK" w:eastAsia="方正仿宋_GBK" w:cs="方正仿宋_GBK"/>
          <w:sz w:val="32"/>
          <w:szCs w:val="32"/>
          <w:lang w:val="en-US" w:eastAsia="zh-CN"/>
        </w:rPr>
        <w:t>万元。与</w:t>
      </w:r>
      <w:r>
        <w:rPr>
          <w:rFonts w:hint="default"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val="en-US" w:eastAsia="zh-CN"/>
        </w:rPr>
        <w:t>年度相比，</w:t>
      </w:r>
      <w:r>
        <w:rPr>
          <w:rFonts w:hint="default" w:ascii="方正仿宋_GBK" w:hAnsi="方正仿宋_GBK" w:eastAsia="方正仿宋_GBK" w:cs="方正仿宋_GBK"/>
          <w:sz w:val="32"/>
          <w:szCs w:val="32"/>
          <w:lang w:val="en-US" w:eastAsia="zh-CN"/>
        </w:rPr>
        <w:t>财政拨款收、支总计均无增减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.收入情况。</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年度一般公共预算财政拨款收入</w:t>
      </w:r>
      <w:r>
        <w:rPr>
          <w:rFonts w:hint="default" w:ascii="方正仿宋_GBK" w:hAnsi="方正仿宋_GBK" w:eastAsia="方正仿宋_GBK" w:cs="方正仿宋_GBK"/>
          <w:sz w:val="32"/>
          <w:szCs w:val="32"/>
          <w:lang w:val="en-US" w:eastAsia="zh-CN"/>
        </w:rPr>
        <w:t>58.00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。主要原因是我单位为财政定额拨款单位，目前财政每年定额拨款58.00万元。此外，年初财政拨款结转和结余</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.支出情况。</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年度一般公共预算财政拨款支出</w:t>
      </w:r>
      <w:r>
        <w:rPr>
          <w:rFonts w:hint="default" w:ascii="方正仿宋_GBK" w:hAnsi="方正仿宋_GBK" w:eastAsia="方正仿宋_GBK" w:cs="方正仿宋_GBK"/>
          <w:sz w:val="32"/>
          <w:szCs w:val="32"/>
          <w:lang w:val="en-US" w:eastAsia="zh-CN"/>
        </w:rPr>
        <w:t>58.00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一般公共预算财政拨款支出主要用途如下：</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）一般公共服务支出</w:t>
      </w:r>
      <w:r>
        <w:rPr>
          <w:rFonts w:hint="default" w:ascii="方正仿宋_GBK" w:hAnsi="方正仿宋_GBK" w:eastAsia="方正仿宋_GBK" w:cs="方正仿宋_GBK"/>
          <w:sz w:val="32"/>
          <w:szCs w:val="32"/>
          <w:lang w:val="en-US" w:eastAsia="zh-CN"/>
        </w:rPr>
        <w:t>58.00</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100.00%</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，主要原因是我单位为财政定额拨款单位，目前财政每年定额拨款58.00万元。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.结转结余情况。</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年度年末一般公共预算财政拨款结转和结余</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，主要原因是我单位严格执行收支平衡，无结转结余。</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年度一般公共财政拨款基本支出</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万元。其中：</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人员经费</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，主要原因是我单位属于定额拨款单位，未使用财政资金保障人员经费。人员经费用途主要包括用于保障在职人员工资福利及社会保险缴费、退休人员补助等。</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公用经费</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与2023年度相比，无增减</w:t>
      </w:r>
      <w:r>
        <w:rPr>
          <w:rFonts w:hint="eastAsia" w:ascii="方正仿宋_GBK" w:hAnsi="方正仿宋_GBK" w:eastAsia="方正仿宋_GBK" w:cs="方正仿宋_GBK"/>
          <w:sz w:val="32"/>
          <w:szCs w:val="32"/>
          <w:lang w:val="en-US" w:eastAsia="zh-CN"/>
        </w:rPr>
        <w:t>，主要原因是我单位属于定额拨款单位，未使用财政资金保障公用经费。公用经费用途主要包括</w:t>
      </w:r>
      <w:r>
        <w:rPr>
          <w:rFonts w:hint="eastAsia" w:ascii="方正仿宋_GBK" w:hAnsi="方正仿宋_GBK" w:eastAsia="方正仿宋_GBK" w:cs="方正仿宋_GBK"/>
          <w:sz w:val="32"/>
          <w:szCs w:val="32"/>
          <w:lang w:val="en-US" w:eastAsia="zh-Hans"/>
        </w:rPr>
        <w:t>办公费、水电费、印刷费、物业管理费等。</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我单位属于定额拨款单位，未使用财政资金保障“三公”经费。</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年度“三公”经费支出共计</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，主要原因是我单位属于定额拨款单位，未使用财政资金保障“三公”经费。</w:t>
      </w:r>
      <w:r>
        <w:rPr>
          <w:rFonts w:hint="default" w:ascii="方正仿宋_GBK" w:hAnsi="方正仿宋_GBK" w:eastAsia="方正仿宋_GBK" w:cs="方正仿宋_GBK"/>
          <w:sz w:val="32"/>
          <w:szCs w:val="32"/>
          <w:lang w:val="en-US" w:eastAsia="zh-CN"/>
        </w:rPr>
        <w:t>较上年支出数无增减</w:t>
      </w:r>
      <w:r>
        <w:rPr>
          <w:rFonts w:hint="eastAsia" w:ascii="方正仿宋_GBK" w:hAnsi="方正仿宋_GBK" w:eastAsia="方正仿宋_GBK" w:cs="方正仿宋_GBK"/>
          <w:sz w:val="32"/>
          <w:szCs w:val="32"/>
          <w:lang w:val="en-US" w:eastAsia="zh-CN"/>
        </w:rPr>
        <w:t>，主要原因是我单位属于定额拨款单位，未使用财政资金保障“三公”经费。</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年度本单位因公出国（境）费用</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万元，主要是用于公务出国（境）的国际旅费、国外城市间交通费、住宿费、伙食费、培训费、公杂费等支出。费用支出</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较上年支出数无增减</w:t>
      </w:r>
      <w:r>
        <w:rPr>
          <w:rFonts w:hint="eastAsia" w:ascii="方正仿宋_GBK" w:hAnsi="方正仿宋_GBK" w:eastAsia="方正仿宋_GBK" w:cs="方正仿宋_GBK"/>
          <w:sz w:val="32"/>
          <w:szCs w:val="32"/>
          <w:lang w:val="en-US" w:eastAsia="zh-CN"/>
        </w:rPr>
        <w:t>。</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公务用车购置费</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万元，主要用于公务用车购置支出（含车辆购置税、牌照费）。费用支出</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较上年支出数无增减</w:t>
      </w:r>
      <w:r>
        <w:rPr>
          <w:rFonts w:hint="eastAsia" w:ascii="方正仿宋_GBK" w:hAnsi="方正仿宋_GBK" w:eastAsia="方正仿宋_GBK" w:cs="方正仿宋_GBK"/>
          <w:sz w:val="32"/>
          <w:szCs w:val="32"/>
          <w:lang w:val="en-US" w:eastAsia="zh-CN"/>
        </w:rPr>
        <w:t>。</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公务用车运行维护费</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万元，主要用于公务用车燃料费、新能源汽车充电费、维修费、过路费、保险费等支出。费用支出</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较上年支出数无增减</w:t>
      </w:r>
      <w:r>
        <w:rPr>
          <w:rFonts w:hint="eastAsia" w:ascii="方正仿宋_GBK" w:hAnsi="方正仿宋_GBK" w:eastAsia="方正仿宋_GBK" w:cs="方正仿宋_GBK"/>
          <w:sz w:val="32"/>
          <w:szCs w:val="32"/>
          <w:lang w:val="en-US" w:eastAsia="zh-CN"/>
        </w:rPr>
        <w:t>。</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公务接待费</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万元，主要用于各类公务接待支出。费用支出</w:t>
      </w:r>
      <w:r>
        <w:rPr>
          <w:rFonts w:hint="default" w:ascii="方正仿宋_GBK" w:hAnsi="方正仿宋_GBK" w:eastAsia="方正仿宋_GBK" w:cs="方正仿宋_GBK"/>
          <w:sz w:val="32"/>
          <w:szCs w:val="32"/>
          <w:lang w:val="en-US" w:eastAsia="zh-CN"/>
        </w:rPr>
        <w:t>较年初预算数无增减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较上年支出数无增减</w:t>
      </w:r>
      <w:r>
        <w:rPr>
          <w:rFonts w:hint="eastAsia" w:ascii="方正仿宋_GBK" w:hAnsi="方正仿宋_GBK" w:eastAsia="方正仿宋_GBK" w:cs="方正仿宋_GBK"/>
          <w:sz w:val="32"/>
          <w:szCs w:val="32"/>
          <w:lang w:val="en-US" w:eastAsia="zh-CN"/>
        </w:rPr>
        <w:t>。</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年度本单位因公出国（境）共计</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个团组，</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人；公务用车购置</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辆，公务车保有量为</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辆；国内公务接待</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批次</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人，其中：国内外事接待</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批次，</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人；国（境）外公务接待</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批次，</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人。</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年本单位人均接待费</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元，车均购置费</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万元，车均维护费</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0"/>
          <w:rFonts w:hint="default" w:ascii="黑体" w:hAnsi="黑体" w:eastAsia="黑体" w:cs="黑体"/>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（一）财政拨款会议费、培训费和差旅费情况说明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我单位属于定额拨款单位，未使用财政资金保障</w:t>
      </w:r>
      <w:r>
        <w:rPr>
          <w:rFonts w:hint="default" w:ascii="方正仿宋_GBK" w:hAnsi="方正仿宋_GBK" w:eastAsia="方正仿宋_GBK" w:cs="方正仿宋_GBK"/>
          <w:sz w:val="32"/>
          <w:szCs w:val="32"/>
          <w:lang w:val="en-US" w:eastAsia="zh-CN"/>
        </w:rPr>
        <w:t>会议费</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培训费</w:t>
      </w:r>
      <w:r>
        <w:rPr>
          <w:rFonts w:hint="eastAsia" w:ascii="方正仿宋_GBK" w:hAnsi="方正仿宋_GBK" w:eastAsia="方正仿宋_GBK" w:cs="方正仿宋_GBK"/>
          <w:sz w:val="32"/>
          <w:szCs w:val="32"/>
          <w:lang w:val="en-US" w:eastAsia="zh-CN"/>
        </w:rPr>
        <w:t>和差旅费</w:t>
      </w:r>
      <w:r>
        <w:rPr>
          <w:rFonts w:hint="default" w:ascii="方正仿宋_GBK" w:hAnsi="方正仿宋_GBK" w:eastAsia="方正仿宋_GBK" w:cs="方正仿宋_GBK"/>
          <w:sz w:val="32"/>
          <w:szCs w:val="32"/>
          <w:lang w:val="en-US" w:eastAsia="zh-CN"/>
        </w:rPr>
        <w:t>。</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按照部门决算列报口径，我</w:t>
      </w:r>
      <w:r>
        <w:rPr>
          <w:rFonts w:hint="eastAsia" w:ascii="方正仿宋_GBK" w:hAnsi="方正仿宋_GBK" w:eastAsia="方正仿宋_GBK" w:cs="方正仿宋_GBK"/>
          <w:sz w:val="32"/>
          <w:szCs w:val="32"/>
          <w:lang w:val="en-US" w:eastAsia="zh-CN"/>
        </w:rPr>
        <w:t>单位</w:t>
      </w:r>
      <w:r>
        <w:rPr>
          <w:rFonts w:hint="default" w:ascii="方正仿宋_GBK" w:hAnsi="方正仿宋_GBK" w:eastAsia="方正仿宋_GBK" w:cs="方正仿宋_GBK"/>
          <w:sz w:val="32"/>
          <w:szCs w:val="32"/>
          <w:lang w:val="en-US" w:eastAsia="zh-CN"/>
        </w:rPr>
        <w:t>不在机关运行经费统计范围之内。</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我单位属于定额拨款单位，</w:t>
      </w:r>
      <w:r>
        <w:rPr>
          <w:rFonts w:hint="default" w:ascii="方正仿宋_GBK" w:hAnsi="方正仿宋_GBK" w:eastAsia="方正仿宋_GBK" w:cs="方正仿宋_GBK"/>
          <w:sz w:val="32"/>
          <w:szCs w:val="32"/>
          <w:lang w:val="en-US" w:eastAsia="zh-CN"/>
        </w:rPr>
        <w:t>资产未纳入部门决算报表。</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bidi="ar-SA"/>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Style w:val="10"/>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（一）单位自评情况</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lang w:val="en-US" w:eastAsia="zh-CN"/>
        </w:rPr>
        <w:t>根据预算绩效管理要求，我单位对1个二级项目开展了绩效自评，涉及财政拨款项目支出资金58.00万元。</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单位</w:t>
      </w:r>
      <w:r>
        <w:rPr>
          <w:rFonts w:hint="eastAsia" w:ascii="方正楷体_GBK" w:hAnsi="方正楷体_GBK" w:eastAsia="方正楷体_GBK" w:cs="方正楷体_GBK"/>
          <w:b w:val="0"/>
          <w:bCs w:val="0"/>
          <w:sz w:val="32"/>
          <w:szCs w:val="32"/>
          <w:shd w:val="clear" w:color="auto" w:fill="FFFFFF"/>
        </w:rPr>
        <w:t>绩效评价情况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pPr>
        <w:pStyle w:val="11"/>
        <w:keepNext w:val="0"/>
        <w:keepLines w:val="0"/>
        <w:pageBreakBefore w:val="0"/>
        <w:widowControl/>
        <w:kinsoku/>
        <w:wordWrap/>
        <w:overflowPunct/>
        <w:topLinePunct w:val="0"/>
        <w:autoSpaceDE w:val="0"/>
        <w:autoSpaceDN/>
        <w:bidi w:val="0"/>
        <w:adjustRightInd w:val="0"/>
        <w:snapToGrid w:val="0"/>
        <w:spacing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lang w:val="en-US" w:eastAsia="zh-CN" w:bidi="ar-SA"/>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sz w:val="32"/>
          <w:szCs w:val="32"/>
          <w:lang w:val="en-US" w:eastAsia="zh-CN" w:bidi="ar-SA"/>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sz w:val="32"/>
          <w:szCs w:val="32"/>
          <w:lang w:val="en-US" w:eastAsia="zh-CN" w:bidi="ar-SA"/>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lang w:val="en-US" w:eastAsia="zh-CN" w:bidi="ar-SA"/>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sz w:val="32"/>
          <w:szCs w:val="32"/>
          <w:lang w:val="en-US" w:eastAsia="zh-CN" w:bidi="ar-SA"/>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lang w:val="en-US" w:eastAsia="zh-CN" w:bidi="ar-SA"/>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sz w:val="32"/>
          <w:szCs w:val="32"/>
          <w:lang w:val="en-US" w:eastAsia="zh-CN" w:bidi="ar-SA"/>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lang w:val="en-US" w:eastAsia="zh-CN" w:bidi="ar-SA"/>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lang w:val="en-US" w:eastAsia="zh-CN" w:bidi="ar-SA"/>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lang w:val="en-US" w:eastAsia="zh-CN" w:bidi="ar-SA"/>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lang w:val="en-US" w:eastAsia="zh-CN" w:bidi="ar-SA"/>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本单位决算公开信息反馈和联系方式：</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郑宗勤   023-62848109</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重庆市总工会南温泉疗养院</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重庆市总工会南温泉疗养院</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58.00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重庆市总工会南温泉疗养院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重庆市总工会南温泉疗养院</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重庆市总工会南温泉疗养院</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重庆市总工会南温泉疗养院</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重庆市总工会南温泉疗养院</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重庆市总工会南温泉疗养院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重庆市总工会南温泉疗养院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U3ZWEwNWFlOWZmN2E5OTlhODQ2ZjYwNTZjMjgwOD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2A6E09"/>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10</TotalTime>
  <ScaleCrop>false</ScaleCrop>
  <LinksUpToDate>false</LinksUpToDate>
  <CharactersWithSpaces>26313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Nirvana</cp:lastModifiedBy>
  <dcterms:modified xsi:type="dcterms:W3CDTF">2025-08-15T03:01:23Z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BB46EABDBB2749749395447164B066B3_12</vt:lpwstr>
  </property>
</Properties>
</file>