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asciiTheme="minorEastAsia" w:hAnsiTheme="minorEastAsia" w:eastAsiaTheme="minorEastAsia" w:cstheme="minorEastAsia"/>
          <w:color w:val="auto"/>
          <w:highlight w:val="none"/>
        </w:rPr>
      </w:pPr>
    </w:p>
    <w:p>
      <w:pPr>
        <w:jc w:val="left"/>
        <w:rPr>
          <w:rFonts w:hint="eastAsia" w:asciiTheme="minorEastAsia" w:hAnsiTheme="minorEastAsia" w:eastAsiaTheme="minorEastAsia" w:cstheme="minorEastAsia"/>
          <w:color w:val="auto"/>
          <w:highlight w:val="none"/>
        </w:rPr>
      </w:pPr>
    </w:p>
    <w:p>
      <w:pPr>
        <w:jc w:val="left"/>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color w:val="auto"/>
          <w:highlight w:val="none"/>
        </w:rPr>
      </w:pPr>
    </w:p>
    <w:p>
      <w:pPr>
        <w:spacing w:line="1600" w:lineRule="exact"/>
        <w:jc w:val="center"/>
        <w:outlineLvl w:val="0"/>
        <w:rPr>
          <w:rFonts w:hint="eastAsia" w:asciiTheme="minorEastAsia" w:hAnsiTheme="minorEastAsia" w:eastAsiaTheme="minorEastAsia" w:cstheme="minorEastAsia"/>
          <w:color w:val="auto"/>
          <w:sz w:val="84"/>
          <w:szCs w:val="84"/>
          <w:highlight w:val="none"/>
        </w:rPr>
      </w:pPr>
    </w:p>
    <w:p>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84"/>
          <w:szCs w:val="84"/>
          <w:highlight w:val="none"/>
        </w:rPr>
        <w:t>竞争性磋商文件</w:t>
      </w:r>
    </w:p>
    <w:p>
      <w:pPr>
        <w:spacing w:line="700" w:lineRule="exact"/>
        <w:jc w:val="center"/>
        <w:rPr>
          <w:rFonts w:hint="eastAsia" w:asciiTheme="minorEastAsia" w:hAnsiTheme="minorEastAsia" w:eastAsiaTheme="minorEastAsia" w:cstheme="minorEastAsia"/>
          <w:color w:val="auto"/>
          <w:sz w:val="72"/>
          <w:szCs w:val="72"/>
          <w:highlight w:val="none"/>
        </w:rPr>
      </w:pPr>
    </w:p>
    <w:p>
      <w:pPr>
        <w:pStyle w:val="4"/>
        <w:rPr>
          <w:rFonts w:hint="eastAsia" w:asciiTheme="minorEastAsia" w:hAnsiTheme="minorEastAsia" w:eastAsiaTheme="minorEastAsia" w:cstheme="minorEastAsia"/>
          <w:color w:val="auto"/>
          <w:highlight w:val="none"/>
        </w:rPr>
      </w:pPr>
    </w:p>
    <w:p>
      <w:pPr>
        <w:spacing w:line="700" w:lineRule="exact"/>
        <w:jc w:val="center"/>
        <w:rPr>
          <w:rFonts w:hint="eastAsia" w:asciiTheme="minorEastAsia" w:hAnsiTheme="minorEastAsia" w:eastAsiaTheme="minorEastAsia" w:cstheme="minorEastAsia"/>
          <w:color w:val="auto"/>
          <w:sz w:val="32"/>
          <w:highlight w:val="none"/>
        </w:rPr>
      </w:pPr>
    </w:p>
    <w:p>
      <w:pPr>
        <w:spacing w:line="500" w:lineRule="exact"/>
        <w:ind w:firstLine="720" w:firstLineChars="2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项目</w:t>
      </w:r>
      <w:r>
        <w:rPr>
          <w:rFonts w:hint="eastAsia" w:asciiTheme="minorEastAsia" w:hAnsiTheme="minorEastAsia" w:eastAsiaTheme="minorEastAsia" w:cstheme="minorEastAsia"/>
          <w:color w:val="auto"/>
          <w:sz w:val="36"/>
          <w:szCs w:val="36"/>
          <w:highlight w:val="none"/>
          <w:lang w:val="en-US" w:eastAsia="zh-CN"/>
        </w:rPr>
        <w:t>编</w:t>
      </w:r>
      <w:r>
        <w:rPr>
          <w:rFonts w:hint="eastAsia" w:asciiTheme="minorEastAsia" w:hAnsiTheme="minorEastAsia" w:eastAsiaTheme="minorEastAsia" w:cstheme="minorEastAsia"/>
          <w:color w:val="auto"/>
          <w:sz w:val="36"/>
          <w:szCs w:val="36"/>
          <w:highlight w:val="none"/>
        </w:rPr>
        <w:t>号：</w:t>
      </w:r>
      <w:r>
        <w:rPr>
          <w:rFonts w:hint="eastAsia" w:asciiTheme="minorEastAsia" w:hAnsiTheme="minorEastAsia" w:eastAsiaTheme="minorEastAsia" w:cstheme="minorEastAsia"/>
          <w:color w:val="auto"/>
          <w:sz w:val="36"/>
          <w:szCs w:val="36"/>
          <w:highlight w:val="none"/>
          <w:lang w:eastAsia="zh-CN"/>
        </w:rPr>
        <w:t>HRZ25C192</w:t>
      </w:r>
      <w:r>
        <w:rPr>
          <w:rFonts w:hint="eastAsia" w:asciiTheme="minorEastAsia" w:hAnsiTheme="minorEastAsia" w:eastAsiaTheme="minorEastAsia" w:cstheme="minorEastAsia"/>
          <w:color w:val="auto"/>
          <w:sz w:val="36"/>
          <w:szCs w:val="36"/>
          <w:highlight w:val="none"/>
        </w:rPr>
        <w:t xml:space="preserve"> </w:t>
      </w:r>
    </w:p>
    <w:p>
      <w:pPr>
        <w:spacing w:line="500" w:lineRule="exact"/>
        <w:ind w:left="3237" w:leftChars="256" w:hanging="2520" w:hangingChars="700"/>
        <w:outlineLvl w:val="0"/>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z w:val="36"/>
          <w:szCs w:val="36"/>
          <w:highlight w:val="none"/>
        </w:rPr>
        <w:t>项目名称：</w:t>
      </w:r>
      <w:r>
        <w:rPr>
          <w:rFonts w:hint="eastAsia" w:asciiTheme="minorEastAsia" w:hAnsiTheme="minorEastAsia" w:eastAsiaTheme="minorEastAsia" w:cstheme="minorEastAsia"/>
          <w:color w:val="auto"/>
          <w:sz w:val="36"/>
          <w:szCs w:val="36"/>
          <w:highlight w:val="none"/>
          <w:lang w:eastAsia="zh-CN"/>
        </w:rPr>
        <w:t>重庆工会职工服务平台与“职工之家”APP</w:t>
      </w:r>
    </w:p>
    <w:p>
      <w:pPr>
        <w:spacing w:line="500" w:lineRule="exact"/>
        <w:ind w:left="3229" w:leftChars="896" w:hanging="720" w:hangingChars="200"/>
        <w:outlineLvl w:val="0"/>
        <w:rPr>
          <w:rFonts w:hint="default" w:asciiTheme="minorEastAsia" w:hAnsiTheme="minorEastAsia" w:eastAsiaTheme="minorEastAsia" w:cstheme="minorEastAsia"/>
          <w:color w:val="auto"/>
          <w:sz w:val="36"/>
          <w:szCs w:val="36"/>
          <w:highlight w:val="none"/>
          <w:lang w:val="en-US" w:eastAsia="zh-CN"/>
        </w:rPr>
      </w:pPr>
      <w:r>
        <w:rPr>
          <w:rFonts w:hint="eastAsia" w:asciiTheme="minorEastAsia" w:hAnsiTheme="minorEastAsia" w:eastAsiaTheme="minorEastAsia" w:cstheme="minorEastAsia"/>
          <w:color w:val="auto"/>
          <w:sz w:val="36"/>
          <w:szCs w:val="36"/>
          <w:highlight w:val="none"/>
          <w:lang w:eastAsia="zh-CN"/>
        </w:rPr>
        <w:t>融合互促—</w:t>
      </w:r>
      <w:r>
        <w:rPr>
          <w:rFonts w:hint="eastAsia" w:asciiTheme="minorEastAsia" w:hAnsiTheme="minorEastAsia" w:eastAsiaTheme="minorEastAsia" w:cstheme="minorEastAsia"/>
          <w:color w:val="auto"/>
          <w:sz w:val="36"/>
          <w:szCs w:val="36"/>
          <w:highlight w:val="none"/>
          <w:lang w:val="en-US" w:eastAsia="zh-CN"/>
        </w:rPr>
        <w:t>2025年度</w:t>
      </w:r>
      <w:r>
        <w:rPr>
          <w:rFonts w:hint="eastAsia" w:asciiTheme="minorEastAsia" w:hAnsiTheme="minorEastAsia" w:eastAsiaTheme="minorEastAsia" w:cstheme="minorEastAsia"/>
          <w:color w:val="auto"/>
          <w:sz w:val="36"/>
          <w:szCs w:val="36"/>
          <w:highlight w:val="none"/>
          <w:lang w:eastAsia="zh-CN"/>
        </w:rPr>
        <w:t>数据服务</w:t>
      </w:r>
      <w:r>
        <w:rPr>
          <w:rFonts w:hint="eastAsia" w:asciiTheme="minorEastAsia" w:hAnsiTheme="minorEastAsia" w:eastAsiaTheme="minorEastAsia" w:cstheme="minorEastAsia"/>
          <w:color w:val="auto"/>
          <w:sz w:val="36"/>
          <w:szCs w:val="36"/>
          <w:highlight w:val="none"/>
          <w:lang w:val="en-US" w:eastAsia="zh-CN"/>
        </w:rPr>
        <w:t>项目</w:t>
      </w:r>
    </w:p>
    <w:p>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pPr>
        <w:spacing w:line="700" w:lineRule="exact"/>
        <w:rPr>
          <w:rFonts w:hint="eastAsia" w:asciiTheme="minorEastAsia" w:hAnsiTheme="minorEastAsia" w:eastAsiaTheme="minorEastAsia" w:cstheme="minorEastAsia"/>
          <w:color w:val="auto"/>
          <w:sz w:val="36"/>
          <w:szCs w:val="36"/>
          <w:highlight w:val="none"/>
        </w:rPr>
      </w:pPr>
    </w:p>
    <w:p>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pPr>
        <w:spacing w:line="700" w:lineRule="exact"/>
        <w:jc w:val="center"/>
        <w:rPr>
          <w:rFonts w:hint="eastAsia" w:asciiTheme="minorEastAsia" w:hAnsiTheme="minorEastAsia" w:eastAsiaTheme="minorEastAsia" w:cstheme="minorEastAsia"/>
          <w:b/>
          <w:color w:val="auto"/>
          <w:sz w:val="36"/>
          <w:szCs w:val="36"/>
          <w:highlight w:val="none"/>
        </w:rPr>
      </w:pPr>
    </w:p>
    <w:p>
      <w:pPr>
        <w:spacing w:line="500" w:lineRule="exact"/>
        <w:ind w:firstLine="2160" w:firstLineChars="600"/>
        <w:jc w:val="both"/>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采购人：</w:t>
      </w:r>
      <w:r>
        <w:rPr>
          <w:rFonts w:hint="eastAsia" w:asciiTheme="minorEastAsia" w:hAnsiTheme="minorEastAsia" w:eastAsiaTheme="minorEastAsia" w:cstheme="minorEastAsia"/>
          <w:color w:val="auto"/>
          <w:sz w:val="36"/>
          <w:szCs w:val="36"/>
          <w:highlight w:val="none"/>
          <w:lang w:eastAsia="zh-CN"/>
        </w:rPr>
        <w:t>重庆市总工会</w:t>
      </w:r>
      <w:r>
        <w:rPr>
          <w:rFonts w:hint="eastAsia" w:asciiTheme="minorEastAsia" w:hAnsiTheme="minorEastAsia" w:eastAsiaTheme="minorEastAsia" w:cstheme="minorEastAsia"/>
          <w:color w:val="auto"/>
          <w:sz w:val="36"/>
          <w:szCs w:val="36"/>
          <w:highlight w:val="none"/>
        </w:rPr>
        <w:t xml:space="preserve"> </w:t>
      </w:r>
    </w:p>
    <w:p>
      <w:pPr>
        <w:spacing w:line="500" w:lineRule="exact"/>
        <w:ind w:firstLine="1080" w:firstLineChars="300"/>
        <w:jc w:val="both"/>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采购代理机构：重庆</w:t>
      </w:r>
      <w:r>
        <w:rPr>
          <w:rFonts w:hint="eastAsia" w:asciiTheme="minorEastAsia" w:hAnsiTheme="minorEastAsia" w:eastAsiaTheme="minorEastAsia" w:cstheme="minorEastAsia"/>
          <w:color w:val="auto"/>
          <w:sz w:val="36"/>
          <w:szCs w:val="36"/>
          <w:highlight w:val="none"/>
          <w:lang w:eastAsia="zh-CN"/>
        </w:rPr>
        <w:t>宏仁</w:t>
      </w:r>
      <w:r>
        <w:rPr>
          <w:rFonts w:hint="eastAsia" w:asciiTheme="minorEastAsia" w:hAnsiTheme="minorEastAsia" w:eastAsiaTheme="minorEastAsia" w:cstheme="minorEastAsia"/>
          <w:color w:val="auto"/>
          <w:sz w:val="36"/>
          <w:szCs w:val="36"/>
          <w:highlight w:val="none"/>
        </w:rPr>
        <w:t>招标代理有限公司</w:t>
      </w:r>
    </w:p>
    <w:p>
      <w:pPr>
        <w:spacing w:line="500" w:lineRule="exact"/>
        <w:jc w:val="center"/>
        <w:outlineLvl w:val="0"/>
        <w:rPr>
          <w:rFonts w:hint="eastAsia" w:asciiTheme="minorEastAsia" w:hAnsiTheme="minorEastAsia" w:eastAsiaTheme="minorEastAsia" w:cstheme="minorEastAsia"/>
          <w:color w:val="auto"/>
          <w:sz w:val="36"/>
          <w:szCs w:val="36"/>
          <w:highlight w:val="none"/>
        </w:rPr>
      </w:pPr>
    </w:p>
    <w:p>
      <w:pPr>
        <w:spacing w:line="720" w:lineRule="exact"/>
        <w:jc w:val="center"/>
        <w:outlineLvl w:val="0"/>
        <w:rPr>
          <w:rFonts w:hint="eastAsia" w:asciiTheme="minorEastAsia" w:hAnsiTheme="minorEastAsia" w:eastAsiaTheme="minorEastAsia" w:cstheme="minorEastAsia"/>
          <w:color w:val="auto"/>
          <w:sz w:val="48"/>
          <w:szCs w:val="32"/>
          <w:highlight w:val="none"/>
        </w:rPr>
      </w:pPr>
      <w:r>
        <w:rPr>
          <w:rFonts w:hint="eastAsia" w:asciiTheme="minorEastAsia" w:hAnsiTheme="minorEastAsia" w:eastAsiaTheme="minorEastAsia" w:cstheme="minorEastAsia"/>
          <w:color w:val="auto"/>
          <w:sz w:val="36"/>
          <w:szCs w:val="36"/>
          <w:highlight w:val="none"/>
        </w:rPr>
        <w:t>二〇二</w:t>
      </w:r>
      <w:r>
        <w:rPr>
          <w:rFonts w:hint="eastAsia" w:asciiTheme="minorEastAsia" w:hAnsiTheme="minorEastAsia" w:eastAsiaTheme="minorEastAsia" w:cstheme="minorEastAsia"/>
          <w:color w:val="auto"/>
          <w:sz w:val="36"/>
          <w:szCs w:val="36"/>
          <w:highlight w:val="none"/>
          <w:lang w:val="en-US" w:eastAsia="zh-CN"/>
        </w:rPr>
        <w:t>五</w:t>
      </w:r>
      <w:r>
        <w:rPr>
          <w:rFonts w:hint="eastAsia" w:asciiTheme="minorEastAsia" w:hAnsiTheme="minorEastAsia" w:eastAsiaTheme="minorEastAsia" w:cstheme="minorEastAsia"/>
          <w:color w:val="auto"/>
          <w:sz w:val="36"/>
          <w:szCs w:val="36"/>
          <w:highlight w:val="none"/>
        </w:rPr>
        <w:t>年</w:t>
      </w:r>
      <w:r>
        <w:rPr>
          <w:rFonts w:hint="eastAsia" w:asciiTheme="minorEastAsia" w:hAnsiTheme="minorEastAsia" w:eastAsiaTheme="minorEastAsia" w:cstheme="minorEastAsia"/>
          <w:color w:val="auto"/>
          <w:sz w:val="36"/>
          <w:szCs w:val="36"/>
          <w:highlight w:val="none"/>
          <w:lang w:val="en-US" w:eastAsia="zh-CN"/>
        </w:rPr>
        <w:t>十一</w:t>
      </w:r>
      <w:r>
        <w:rPr>
          <w:rFonts w:hint="eastAsia" w:asciiTheme="minorEastAsia" w:hAnsiTheme="minorEastAsia" w:eastAsiaTheme="minorEastAsia" w:cstheme="minorEastAsia"/>
          <w:color w:val="auto"/>
          <w:sz w:val="36"/>
          <w:szCs w:val="36"/>
          <w:highlight w:val="none"/>
        </w:rPr>
        <w:t>月</w:t>
      </w:r>
    </w:p>
    <w:p>
      <w:pPr>
        <w:spacing w:line="720" w:lineRule="exact"/>
        <w:jc w:val="center"/>
        <w:outlineLvl w:val="0"/>
        <w:rPr>
          <w:rFonts w:hint="eastAsia" w:asciiTheme="minorEastAsia" w:hAnsiTheme="minorEastAsia" w:eastAsiaTheme="minorEastAsia" w:cstheme="minorEastAsia"/>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1" w:charSpace="-5735"/>
        </w:sectPr>
      </w:pPr>
    </w:p>
    <w:p>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pPr>
        <w:pStyle w:val="45"/>
        <w:tabs>
          <w:tab w:val="right" w:leader="dot" w:pos="9412"/>
        </w:tabs>
        <w:rPr>
          <w:color w:val="auto"/>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_Toc19322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_Toc19322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_Toc13641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 竞争性磋商内容</w:t>
      </w:r>
      <w:r>
        <w:rPr>
          <w:color w:val="auto"/>
          <w:highlight w:val="none"/>
        </w:rPr>
        <w:tab/>
      </w:r>
      <w:r>
        <w:rPr>
          <w:color w:val="auto"/>
          <w:highlight w:val="none"/>
        </w:rPr>
        <w:fldChar w:fldCharType="begin"/>
      </w:r>
      <w:r>
        <w:rPr>
          <w:color w:val="auto"/>
          <w:highlight w:val="none"/>
        </w:rPr>
        <w:instrText xml:space="preserve"> PAGEREF _Toc13641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_Toc2694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_Toc2694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_Toc29441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_Toc29441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_Toc24685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四、磋商有关说明</w:t>
      </w:r>
      <w:r>
        <w:rPr>
          <w:color w:val="auto"/>
          <w:highlight w:val="none"/>
        </w:rPr>
        <w:tab/>
      </w:r>
      <w:r>
        <w:rPr>
          <w:color w:val="auto"/>
          <w:highlight w:val="none"/>
        </w:rPr>
        <w:fldChar w:fldCharType="begin"/>
      </w:r>
      <w:r>
        <w:rPr>
          <w:color w:val="auto"/>
          <w:highlight w:val="none"/>
        </w:rPr>
        <w:instrText xml:space="preserve"> PAGEREF _Toc24685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_Toc17730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五、保证金</w:t>
      </w:r>
      <w:r>
        <w:rPr>
          <w:color w:val="auto"/>
          <w:highlight w:val="none"/>
        </w:rPr>
        <w:tab/>
      </w:r>
      <w:r>
        <w:rPr>
          <w:color w:val="auto"/>
          <w:highlight w:val="none"/>
        </w:rPr>
        <w:fldChar w:fldCharType="begin"/>
      </w:r>
      <w:r>
        <w:rPr>
          <w:color w:val="auto"/>
          <w:highlight w:val="none"/>
        </w:rPr>
        <w:instrText xml:space="preserve"> PAGEREF _Toc17730 \h </w:instrText>
      </w:r>
      <w:r>
        <w:rPr>
          <w:color w:val="auto"/>
          <w:highlight w:val="none"/>
        </w:rPr>
        <w:fldChar w:fldCharType="separate"/>
      </w:r>
      <w:r>
        <w:rPr>
          <w:color w:val="auto"/>
          <w:highlight w:val="none"/>
        </w:rPr>
        <w:t>- 3 -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_Toc27236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六</w:t>
      </w:r>
      <w:r>
        <w:rPr>
          <w:rFonts w:hint="eastAsia" w:asciiTheme="minorEastAsia" w:hAnsiTheme="minorEastAsia" w:eastAsiaTheme="minorEastAsia" w:cstheme="minorEastAsia"/>
          <w:color w:val="auto"/>
          <w:highlight w:val="none"/>
        </w:rPr>
        <w:t>、其它有关规定</w:t>
      </w:r>
      <w:r>
        <w:rPr>
          <w:color w:val="auto"/>
          <w:highlight w:val="none"/>
        </w:rPr>
        <w:tab/>
      </w:r>
      <w:r>
        <w:rPr>
          <w:color w:val="auto"/>
          <w:highlight w:val="none"/>
        </w:rPr>
        <w:fldChar w:fldCharType="begin"/>
      </w:r>
      <w:r>
        <w:rPr>
          <w:color w:val="auto"/>
          <w:highlight w:val="none"/>
        </w:rPr>
        <w:instrText xml:space="preserve"> PAGEREF _Toc27236 \h </w:instrText>
      </w:r>
      <w:r>
        <w:rPr>
          <w:color w:val="auto"/>
          <w:highlight w:val="none"/>
        </w:rPr>
        <w:fldChar w:fldCharType="separate"/>
      </w:r>
      <w:r>
        <w:rPr>
          <w:color w:val="auto"/>
          <w:highlight w:val="none"/>
        </w:rPr>
        <w:t>- 4 -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_Toc12105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七</w:t>
      </w:r>
      <w:r>
        <w:rPr>
          <w:rFonts w:hint="eastAsia" w:asciiTheme="minorEastAsia" w:hAnsiTheme="minorEastAsia" w:eastAsiaTheme="minorEastAsia" w:cstheme="minorEastAsia"/>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_Toc12105 \h </w:instrText>
      </w:r>
      <w:r>
        <w:rPr>
          <w:color w:val="auto"/>
          <w:highlight w:val="none"/>
        </w:rPr>
        <w:fldChar w:fldCharType="separate"/>
      </w:r>
      <w:r>
        <w:rPr>
          <w:color w:val="auto"/>
          <w:highlight w:val="none"/>
        </w:rPr>
        <w:t>- 4 -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_Toc30251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_Toc30251 \h </w:instrText>
      </w:r>
      <w:r>
        <w:rPr>
          <w:color w:val="auto"/>
          <w:highlight w:val="none"/>
        </w:rPr>
        <w:fldChar w:fldCharType="separate"/>
      </w:r>
      <w:r>
        <w:rPr>
          <w:color w:val="auto"/>
          <w:highlight w:val="none"/>
        </w:rPr>
        <w:t>- 6 -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_Toc2431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lang w:val="en-US" w:eastAsia="zh-CN"/>
        </w:rPr>
        <w:t>采购</w:t>
      </w:r>
      <w:r>
        <w:rPr>
          <w:rFonts w:hint="eastAsia" w:asciiTheme="minorEastAsia" w:hAnsiTheme="minorEastAsia" w:eastAsiaTheme="minorEastAsia" w:cstheme="minorEastAsia"/>
          <w:color w:val="auto"/>
          <w:highlight w:val="none"/>
        </w:rPr>
        <w:t>项目</w:t>
      </w:r>
      <w:r>
        <w:rPr>
          <w:rFonts w:hint="eastAsia" w:asciiTheme="minorEastAsia" w:hAnsiTheme="minorEastAsia" w:eastAsiaTheme="minorEastAsia" w:cstheme="minorEastAsia"/>
          <w:color w:val="auto"/>
          <w:highlight w:val="none"/>
          <w:lang w:val="en-US" w:eastAsia="zh-CN"/>
        </w:rPr>
        <w:t>概况</w:t>
      </w:r>
      <w:r>
        <w:rPr>
          <w:color w:val="auto"/>
          <w:highlight w:val="none"/>
        </w:rPr>
        <w:tab/>
      </w:r>
      <w:r>
        <w:rPr>
          <w:color w:val="auto"/>
          <w:highlight w:val="none"/>
        </w:rPr>
        <w:fldChar w:fldCharType="begin"/>
      </w:r>
      <w:r>
        <w:rPr>
          <w:color w:val="auto"/>
          <w:highlight w:val="none"/>
        </w:rPr>
        <w:instrText xml:space="preserve"> PAGEREF _Toc2431 \h </w:instrText>
      </w:r>
      <w:r>
        <w:rPr>
          <w:color w:val="auto"/>
          <w:highlight w:val="none"/>
        </w:rPr>
        <w:fldChar w:fldCharType="separate"/>
      </w:r>
      <w:r>
        <w:rPr>
          <w:color w:val="auto"/>
          <w:highlight w:val="none"/>
        </w:rPr>
        <w:t>- 6 -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_Toc23946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w:t>
      </w:r>
      <w:r>
        <w:rPr>
          <w:rFonts w:hint="eastAsia" w:asciiTheme="minorEastAsia" w:hAnsiTheme="minorEastAsia" w:eastAsiaTheme="minorEastAsia" w:cstheme="minorEastAsia"/>
          <w:color w:val="auto"/>
          <w:highlight w:val="none"/>
          <w:lang w:val="en-US" w:eastAsia="zh-CN"/>
        </w:rPr>
        <w:t>服务内容及要求</w:t>
      </w:r>
      <w:r>
        <w:rPr>
          <w:color w:val="auto"/>
          <w:highlight w:val="none"/>
        </w:rPr>
        <w:tab/>
      </w:r>
      <w:r>
        <w:rPr>
          <w:color w:val="auto"/>
          <w:highlight w:val="none"/>
        </w:rPr>
        <w:fldChar w:fldCharType="begin"/>
      </w:r>
      <w:r>
        <w:rPr>
          <w:color w:val="auto"/>
          <w:highlight w:val="none"/>
        </w:rPr>
        <w:instrText xml:space="preserve"> PAGEREF _Toc23946 \h </w:instrText>
      </w:r>
      <w:r>
        <w:rPr>
          <w:color w:val="auto"/>
          <w:highlight w:val="none"/>
        </w:rPr>
        <w:fldChar w:fldCharType="separate"/>
      </w:r>
      <w:r>
        <w:rPr>
          <w:color w:val="auto"/>
          <w:highlight w:val="none"/>
        </w:rPr>
        <w:t>- 6 -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_Toc9605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_Toc9605 \h </w:instrText>
      </w:r>
      <w:r>
        <w:rPr>
          <w:color w:val="auto"/>
          <w:highlight w:val="none"/>
        </w:rPr>
        <w:fldChar w:fldCharType="separate"/>
      </w:r>
      <w:r>
        <w:rPr>
          <w:color w:val="auto"/>
          <w:highlight w:val="none"/>
        </w:rPr>
        <w:t>- 8 -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_Toc30377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lang w:val="en-US" w:eastAsia="zh-CN"/>
        </w:rPr>
        <w:t>实施时间</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地点、交付时间</w:t>
      </w:r>
      <w:r>
        <w:rPr>
          <w:rFonts w:hint="eastAsia" w:asciiTheme="minorEastAsia" w:hAnsiTheme="minorEastAsia" w:eastAsiaTheme="minorEastAsia" w:cstheme="minorEastAsia"/>
          <w:color w:val="auto"/>
          <w:highlight w:val="none"/>
        </w:rPr>
        <w:t>及验收方式</w:t>
      </w:r>
      <w:r>
        <w:rPr>
          <w:color w:val="auto"/>
          <w:highlight w:val="none"/>
        </w:rPr>
        <w:tab/>
      </w:r>
      <w:r>
        <w:rPr>
          <w:color w:val="auto"/>
          <w:highlight w:val="none"/>
        </w:rPr>
        <w:fldChar w:fldCharType="begin"/>
      </w:r>
      <w:r>
        <w:rPr>
          <w:color w:val="auto"/>
          <w:highlight w:val="none"/>
        </w:rPr>
        <w:instrText xml:space="preserve"> PAGEREF _Toc30377 \h </w:instrText>
      </w:r>
      <w:r>
        <w:rPr>
          <w:color w:val="auto"/>
          <w:highlight w:val="none"/>
        </w:rPr>
        <w:fldChar w:fldCharType="separate"/>
      </w:r>
      <w:r>
        <w:rPr>
          <w:color w:val="auto"/>
          <w:highlight w:val="none"/>
        </w:rPr>
        <w:t>- 8 -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_Toc26547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二、报价要求</w:t>
      </w:r>
      <w:r>
        <w:rPr>
          <w:color w:val="auto"/>
          <w:highlight w:val="none"/>
        </w:rPr>
        <w:tab/>
      </w:r>
      <w:r>
        <w:rPr>
          <w:color w:val="auto"/>
          <w:highlight w:val="none"/>
        </w:rPr>
        <w:fldChar w:fldCharType="begin"/>
      </w:r>
      <w:r>
        <w:rPr>
          <w:color w:val="auto"/>
          <w:highlight w:val="none"/>
        </w:rPr>
        <w:instrText xml:space="preserve"> PAGEREF _Toc26547 \h </w:instrText>
      </w:r>
      <w:r>
        <w:rPr>
          <w:color w:val="auto"/>
          <w:highlight w:val="none"/>
        </w:rPr>
        <w:fldChar w:fldCharType="separate"/>
      </w:r>
      <w:r>
        <w:rPr>
          <w:color w:val="auto"/>
          <w:highlight w:val="none"/>
        </w:rPr>
        <w:t>- 8 -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_Toc2090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三、付款方式</w:t>
      </w:r>
      <w:r>
        <w:rPr>
          <w:color w:val="auto"/>
          <w:highlight w:val="none"/>
        </w:rPr>
        <w:tab/>
      </w:r>
      <w:r>
        <w:rPr>
          <w:color w:val="auto"/>
          <w:highlight w:val="none"/>
        </w:rPr>
        <w:fldChar w:fldCharType="begin"/>
      </w:r>
      <w:r>
        <w:rPr>
          <w:color w:val="auto"/>
          <w:highlight w:val="none"/>
        </w:rPr>
        <w:instrText xml:space="preserve"> PAGEREF _Toc2090 \h </w:instrText>
      </w:r>
      <w:r>
        <w:rPr>
          <w:color w:val="auto"/>
          <w:highlight w:val="none"/>
        </w:rPr>
        <w:fldChar w:fldCharType="separate"/>
      </w:r>
      <w:r>
        <w:rPr>
          <w:color w:val="auto"/>
          <w:highlight w:val="none"/>
        </w:rPr>
        <w:t>- 8 -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_Toc10546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val="en-US" w:eastAsia="zh-CN"/>
        </w:rPr>
        <w:t>服务及质量要求</w:t>
      </w:r>
      <w:r>
        <w:rPr>
          <w:color w:val="auto"/>
          <w:highlight w:val="none"/>
        </w:rPr>
        <w:tab/>
      </w:r>
      <w:r>
        <w:rPr>
          <w:color w:val="auto"/>
          <w:highlight w:val="none"/>
        </w:rPr>
        <w:fldChar w:fldCharType="begin"/>
      </w:r>
      <w:r>
        <w:rPr>
          <w:color w:val="auto"/>
          <w:highlight w:val="none"/>
        </w:rPr>
        <w:instrText xml:space="preserve"> PAGEREF _Toc10546 \h </w:instrText>
      </w:r>
      <w:r>
        <w:rPr>
          <w:color w:val="auto"/>
          <w:highlight w:val="none"/>
        </w:rPr>
        <w:fldChar w:fldCharType="separate"/>
      </w:r>
      <w:r>
        <w:rPr>
          <w:color w:val="auto"/>
          <w:highlight w:val="none"/>
        </w:rPr>
        <w:t>- 8 -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_Toc26428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五、知识产权</w:t>
      </w:r>
      <w:r>
        <w:rPr>
          <w:color w:val="auto"/>
          <w:highlight w:val="none"/>
        </w:rPr>
        <w:tab/>
      </w:r>
      <w:r>
        <w:rPr>
          <w:color w:val="auto"/>
          <w:highlight w:val="none"/>
        </w:rPr>
        <w:fldChar w:fldCharType="begin"/>
      </w:r>
      <w:r>
        <w:rPr>
          <w:color w:val="auto"/>
          <w:highlight w:val="none"/>
        </w:rPr>
        <w:instrText xml:space="preserve"> PAGEREF _Toc26428 \h </w:instrText>
      </w:r>
      <w:r>
        <w:rPr>
          <w:color w:val="auto"/>
          <w:highlight w:val="none"/>
        </w:rPr>
        <w:fldChar w:fldCharType="separate"/>
      </w:r>
      <w:r>
        <w:rPr>
          <w:color w:val="auto"/>
          <w:highlight w:val="none"/>
        </w:rPr>
        <w:t>- 8 -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_Toc4202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六</w:t>
      </w:r>
      <w:r>
        <w:rPr>
          <w:rFonts w:hint="eastAsia" w:asciiTheme="minorEastAsia" w:hAnsiTheme="minorEastAsia" w:eastAsiaTheme="minorEastAsia" w:cstheme="minorEastAsia"/>
          <w:color w:val="auto"/>
          <w:highlight w:val="none"/>
        </w:rPr>
        <w:t>、其他</w:t>
      </w:r>
      <w:r>
        <w:rPr>
          <w:color w:val="auto"/>
          <w:highlight w:val="none"/>
        </w:rPr>
        <w:tab/>
      </w:r>
      <w:r>
        <w:rPr>
          <w:color w:val="auto"/>
          <w:highlight w:val="none"/>
        </w:rPr>
        <w:fldChar w:fldCharType="begin"/>
      </w:r>
      <w:r>
        <w:rPr>
          <w:color w:val="auto"/>
          <w:highlight w:val="none"/>
        </w:rPr>
        <w:instrText xml:space="preserve"> PAGEREF _Toc4202 \h </w:instrText>
      </w:r>
      <w:r>
        <w:rPr>
          <w:color w:val="auto"/>
          <w:highlight w:val="none"/>
        </w:rPr>
        <w:fldChar w:fldCharType="separate"/>
      </w:r>
      <w:r>
        <w:rPr>
          <w:color w:val="auto"/>
          <w:highlight w:val="none"/>
        </w:rPr>
        <w:t>- 8 -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_Toc22257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rPr>
        <w:t>第四篇  磋商程序及方法、评审标准、无效响应和</w:t>
      </w:r>
      <w:r>
        <w:rPr>
          <w:rFonts w:hint="eastAsia" w:asciiTheme="minorEastAsia" w:hAnsiTheme="minorEastAsia" w:eastAsiaTheme="minorEastAsia" w:cstheme="minorEastAsia"/>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_Toc22257 \h </w:instrText>
      </w:r>
      <w:r>
        <w:rPr>
          <w:color w:val="auto"/>
          <w:highlight w:val="none"/>
        </w:rPr>
        <w:fldChar w:fldCharType="separate"/>
      </w:r>
      <w:r>
        <w:rPr>
          <w:color w:val="auto"/>
          <w:highlight w:val="none"/>
        </w:rPr>
        <w:t>- 10 -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_Toc14678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_Toc14678 \h </w:instrText>
      </w:r>
      <w:r>
        <w:rPr>
          <w:color w:val="auto"/>
          <w:highlight w:val="none"/>
        </w:rPr>
        <w:fldChar w:fldCharType="separate"/>
      </w:r>
      <w:r>
        <w:rPr>
          <w:color w:val="auto"/>
          <w:highlight w:val="none"/>
        </w:rPr>
        <w:t>- 10 -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_Toc15267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_Toc15267 \h </w:instrText>
      </w:r>
      <w:r>
        <w:rPr>
          <w:color w:val="auto"/>
          <w:highlight w:val="none"/>
        </w:rPr>
        <w:fldChar w:fldCharType="separate"/>
      </w:r>
      <w:r>
        <w:rPr>
          <w:color w:val="auto"/>
          <w:highlight w:val="none"/>
        </w:rPr>
        <w:t>- 12 -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_Toc5626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_Toc5626 \h </w:instrText>
      </w:r>
      <w:r>
        <w:rPr>
          <w:color w:val="auto"/>
          <w:highlight w:val="none"/>
        </w:rPr>
        <w:fldChar w:fldCharType="separate"/>
      </w:r>
      <w:r>
        <w:rPr>
          <w:color w:val="auto"/>
          <w:highlight w:val="none"/>
        </w:rPr>
        <w:t>- 13 -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_Toc2607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_Toc2607 \h </w:instrText>
      </w:r>
      <w:r>
        <w:rPr>
          <w:color w:val="auto"/>
          <w:highlight w:val="none"/>
        </w:rPr>
        <w:fldChar w:fldCharType="separate"/>
      </w:r>
      <w:r>
        <w:rPr>
          <w:color w:val="auto"/>
          <w:highlight w:val="none"/>
        </w:rPr>
        <w:t>- 14 -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_Toc28436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val="0"/>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_Toc28436 \h </w:instrText>
      </w:r>
      <w:r>
        <w:rPr>
          <w:color w:val="auto"/>
          <w:highlight w:val="none"/>
        </w:rPr>
        <w:fldChar w:fldCharType="separate"/>
      </w:r>
      <w:r>
        <w:rPr>
          <w:color w:val="auto"/>
          <w:highlight w:val="none"/>
        </w:rPr>
        <w:t>- 15 -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_Toc23112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一、磋商费用</w:t>
      </w:r>
      <w:r>
        <w:rPr>
          <w:color w:val="auto"/>
          <w:highlight w:val="none"/>
        </w:rPr>
        <w:tab/>
      </w:r>
      <w:r>
        <w:rPr>
          <w:color w:val="auto"/>
          <w:highlight w:val="none"/>
        </w:rPr>
        <w:fldChar w:fldCharType="begin"/>
      </w:r>
      <w:r>
        <w:rPr>
          <w:color w:val="auto"/>
          <w:highlight w:val="none"/>
        </w:rPr>
        <w:instrText xml:space="preserve"> PAGEREF _Toc23112 \h </w:instrText>
      </w:r>
      <w:r>
        <w:rPr>
          <w:color w:val="auto"/>
          <w:highlight w:val="none"/>
        </w:rPr>
        <w:fldChar w:fldCharType="separate"/>
      </w:r>
      <w:r>
        <w:rPr>
          <w:color w:val="auto"/>
          <w:highlight w:val="none"/>
        </w:rPr>
        <w:t>- 15 -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_Toc28598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_Toc28598 \h </w:instrText>
      </w:r>
      <w:r>
        <w:rPr>
          <w:color w:val="auto"/>
          <w:highlight w:val="none"/>
        </w:rPr>
        <w:fldChar w:fldCharType="separate"/>
      </w:r>
      <w:r>
        <w:rPr>
          <w:color w:val="auto"/>
          <w:highlight w:val="none"/>
        </w:rPr>
        <w:t>- 15 -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_Toc31800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三、磋商要求</w:t>
      </w:r>
      <w:r>
        <w:rPr>
          <w:color w:val="auto"/>
          <w:highlight w:val="none"/>
        </w:rPr>
        <w:tab/>
      </w:r>
      <w:r>
        <w:rPr>
          <w:color w:val="auto"/>
          <w:highlight w:val="none"/>
        </w:rPr>
        <w:fldChar w:fldCharType="begin"/>
      </w:r>
      <w:r>
        <w:rPr>
          <w:color w:val="auto"/>
          <w:highlight w:val="none"/>
        </w:rPr>
        <w:instrText xml:space="preserve"> PAGEREF _Toc31800 \h </w:instrText>
      </w:r>
      <w:r>
        <w:rPr>
          <w:color w:val="auto"/>
          <w:highlight w:val="none"/>
        </w:rPr>
        <w:fldChar w:fldCharType="separate"/>
      </w:r>
      <w:r>
        <w:rPr>
          <w:color w:val="auto"/>
          <w:highlight w:val="none"/>
        </w:rPr>
        <w:t>- 15 -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_Toc14972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_Toc14972 \h </w:instrText>
      </w:r>
      <w:r>
        <w:rPr>
          <w:color w:val="auto"/>
          <w:highlight w:val="none"/>
        </w:rPr>
        <w:fldChar w:fldCharType="separate"/>
      </w:r>
      <w:r>
        <w:rPr>
          <w:color w:val="auto"/>
          <w:highlight w:val="none"/>
        </w:rPr>
        <w:t>- 16 -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_Toc13763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_Toc13763 \h </w:instrText>
      </w:r>
      <w:r>
        <w:rPr>
          <w:color w:val="auto"/>
          <w:highlight w:val="none"/>
        </w:rPr>
        <w:fldChar w:fldCharType="separate"/>
      </w:r>
      <w:r>
        <w:rPr>
          <w:color w:val="auto"/>
          <w:highlight w:val="none"/>
        </w:rPr>
        <w:t>- 16 -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_Toc15718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六、关于询问</w:t>
      </w:r>
      <w:r>
        <w:rPr>
          <w:color w:val="auto"/>
          <w:highlight w:val="none"/>
        </w:rPr>
        <w:tab/>
      </w:r>
      <w:r>
        <w:rPr>
          <w:color w:val="auto"/>
          <w:highlight w:val="none"/>
        </w:rPr>
        <w:fldChar w:fldCharType="begin"/>
      </w:r>
      <w:r>
        <w:rPr>
          <w:color w:val="auto"/>
          <w:highlight w:val="none"/>
        </w:rPr>
        <w:instrText xml:space="preserve"> PAGEREF _Toc15718 \h </w:instrText>
      </w:r>
      <w:r>
        <w:rPr>
          <w:color w:val="auto"/>
          <w:highlight w:val="none"/>
        </w:rPr>
        <w:fldChar w:fldCharType="separate"/>
      </w:r>
      <w:r>
        <w:rPr>
          <w:color w:val="auto"/>
          <w:highlight w:val="none"/>
        </w:rPr>
        <w:t>- 16 -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_Toc9994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_Toc9994 \h </w:instrText>
      </w:r>
      <w:r>
        <w:rPr>
          <w:color w:val="auto"/>
          <w:highlight w:val="none"/>
        </w:rPr>
        <w:fldChar w:fldCharType="separate"/>
      </w:r>
      <w:r>
        <w:rPr>
          <w:color w:val="auto"/>
          <w:highlight w:val="none"/>
        </w:rPr>
        <w:t>- 17 -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_Toc25000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八</w:t>
      </w:r>
      <w:r>
        <w:rPr>
          <w:rFonts w:hint="eastAsia" w:asciiTheme="minorEastAsia" w:hAnsiTheme="minorEastAsia" w:eastAsiaTheme="minorEastAsia" w:cstheme="minorEastAsia"/>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_Toc25000 \h </w:instrText>
      </w:r>
      <w:r>
        <w:rPr>
          <w:color w:val="auto"/>
          <w:highlight w:val="none"/>
        </w:rPr>
        <w:fldChar w:fldCharType="separate"/>
      </w:r>
      <w:r>
        <w:rPr>
          <w:color w:val="auto"/>
          <w:highlight w:val="none"/>
        </w:rPr>
        <w:t>- 18 -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_Toc8096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第六篇  响应文件编制要求</w:t>
      </w:r>
      <w:r>
        <w:rPr>
          <w:color w:val="auto"/>
          <w:highlight w:val="none"/>
        </w:rPr>
        <w:tab/>
      </w:r>
      <w:r>
        <w:rPr>
          <w:color w:val="auto"/>
          <w:highlight w:val="none"/>
        </w:rPr>
        <w:fldChar w:fldCharType="begin"/>
      </w:r>
      <w:r>
        <w:rPr>
          <w:color w:val="auto"/>
          <w:highlight w:val="none"/>
        </w:rPr>
        <w:instrText xml:space="preserve"> PAGEREF _Toc8096 \h </w:instrText>
      </w:r>
      <w:r>
        <w:rPr>
          <w:color w:val="auto"/>
          <w:highlight w:val="none"/>
        </w:rPr>
        <w:fldChar w:fldCharType="separate"/>
      </w:r>
      <w:r>
        <w:rPr>
          <w:color w:val="auto"/>
          <w:highlight w:val="none"/>
        </w:rPr>
        <w:t>- 19 -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_Toc24308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_Toc24308 \h </w:instrText>
      </w:r>
      <w:r>
        <w:rPr>
          <w:color w:val="auto"/>
          <w:highlight w:val="none"/>
        </w:rPr>
        <w:fldChar w:fldCharType="separate"/>
      </w:r>
      <w:r>
        <w:rPr>
          <w:color w:val="auto"/>
          <w:highlight w:val="none"/>
        </w:rPr>
        <w:t>- 20 -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_Toc11568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_Toc11568 \h </w:instrText>
      </w:r>
      <w:r>
        <w:rPr>
          <w:color w:val="auto"/>
          <w:highlight w:val="none"/>
        </w:rPr>
        <w:fldChar w:fldCharType="separate"/>
      </w:r>
      <w:r>
        <w:rPr>
          <w:color w:val="auto"/>
          <w:highlight w:val="none"/>
        </w:rPr>
        <w:t>- 22 -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_Toc30212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_Toc30212 \h </w:instrText>
      </w:r>
      <w:r>
        <w:rPr>
          <w:color w:val="auto"/>
          <w:highlight w:val="none"/>
        </w:rPr>
        <w:fldChar w:fldCharType="separate"/>
      </w:r>
      <w:r>
        <w:rPr>
          <w:color w:val="auto"/>
          <w:highlight w:val="none"/>
        </w:rPr>
        <w:t>- 25 -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_Toc14434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_Toc14434 \h </w:instrText>
      </w:r>
      <w:r>
        <w:rPr>
          <w:color w:val="auto"/>
          <w:highlight w:val="none"/>
        </w:rPr>
        <w:fldChar w:fldCharType="separate"/>
      </w:r>
      <w:r>
        <w:rPr>
          <w:color w:val="auto"/>
          <w:highlight w:val="none"/>
        </w:rPr>
        <w:t>- 27 -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_Toc13416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_Toc13416 \h </w:instrText>
      </w:r>
      <w:r>
        <w:rPr>
          <w:color w:val="auto"/>
          <w:highlight w:val="none"/>
        </w:rPr>
        <w:fldChar w:fldCharType="separate"/>
      </w:r>
      <w:r>
        <w:rPr>
          <w:color w:val="auto"/>
          <w:highlight w:val="none"/>
        </w:rPr>
        <w:t>- 32 -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5"/>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pPr>
        <w:pStyle w:val="3"/>
        <w:spacing w:line="360" w:lineRule="auto"/>
        <w:jc w:val="center"/>
        <w:rPr>
          <w:rFonts w:hint="eastAsia" w:asciiTheme="minorEastAsia" w:hAnsiTheme="minorEastAsia" w:eastAsiaTheme="minorEastAsia" w:cstheme="minorEastAsia"/>
          <w:b/>
          <w:bCs/>
          <w:color w:val="auto"/>
          <w:szCs w:val="30"/>
          <w:highlight w:val="none"/>
        </w:rPr>
      </w:pPr>
      <w:bookmarkStart w:id="0" w:name="_Toc11641050"/>
      <w:bookmarkEnd w:id="0"/>
      <w:bookmarkStart w:id="1" w:name="_Toc106030870"/>
      <w:bookmarkEnd w:id="1"/>
      <w:bookmarkStart w:id="2" w:name="_Toc7314"/>
      <w:bookmarkEnd w:id="2"/>
      <w:bookmarkStart w:id="3" w:name="_Toc12789052"/>
      <w:bookmarkEnd w:id="3"/>
      <w:bookmarkStart w:id="4" w:name="_Toc76462316"/>
      <w:bookmarkEnd w:id="4"/>
      <w:bookmarkStart w:id="5" w:name="_Toc19322"/>
      <w:r>
        <w:rPr>
          <w:rFonts w:hint="eastAsia" w:asciiTheme="minorEastAsia" w:hAnsiTheme="minorEastAsia" w:eastAsiaTheme="minorEastAsia" w:cstheme="minorEastAsia"/>
          <w:b/>
          <w:bCs/>
          <w:color w:val="auto"/>
          <w:sz w:val="36"/>
          <w:szCs w:val="30"/>
          <w:highlight w:val="none"/>
        </w:rPr>
        <w:t>第一篇  采购邀请书</w:t>
      </w:r>
      <w:bookmarkEnd w:id="5"/>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招标代理有限公司（以下简称：采购代理机构）接受</w:t>
      </w:r>
      <w:r>
        <w:rPr>
          <w:rFonts w:hint="eastAsia" w:asciiTheme="minorEastAsia" w:hAnsiTheme="minorEastAsia" w:eastAsiaTheme="minorEastAsia" w:cstheme="minorEastAsia"/>
          <w:color w:val="auto"/>
          <w:sz w:val="24"/>
          <w:szCs w:val="24"/>
          <w:highlight w:val="none"/>
          <w:lang w:eastAsia="zh-CN"/>
        </w:rPr>
        <w:t>重庆市总工会</w:t>
      </w:r>
      <w:r>
        <w:rPr>
          <w:rFonts w:hint="eastAsia" w:asciiTheme="minorEastAsia" w:hAnsiTheme="minorEastAsia" w:eastAsiaTheme="minorEastAsia" w:cstheme="minorEastAsia"/>
          <w:color w:val="auto"/>
          <w:sz w:val="24"/>
          <w:szCs w:val="24"/>
          <w:highlight w:val="none"/>
        </w:rPr>
        <w:t>（以下简称：采购人）的委托，对</w:t>
      </w:r>
      <w:r>
        <w:rPr>
          <w:rFonts w:hint="eastAsia" w:asciiTheme="minorEastAsia" w:hAnsiTheme="minorEastAsia" w:eastAsiaTheme="minorEastAsia" w:cstheme="minorEastAsia"/>
          <w:b/>
          <w:bCs/>
          <w:color w:val="auto"/>
          <w:sz w:val="24"/>
          <w:szCs w:val="24"/>
          <w:highlight w:val="none"/>
          <w:u w:val="single"/>
          <w:lang w:eastAsia="zh-CN"/>
        </w:rPr>
        <w:t>重庆工会职工服务平台与“职工之家”APP融合互促—</w:t>
      </w:r>
      <w:r>
        <w:rPr>
          <w:rFonts w:hint="eastAsia" w:asciiTheme="minorEastAsia" w:hAnsiTheme="minorEastAsia" w:eastAsiaTheme="minorEastAsia" w:cstheme="minorEastAsia"/>
          <w:b/>
          <w:bCs/>
          <w:color w:val="auto"/>
          <w:sz w:val="24"/>
          <w:szCs w:val="24"/>
          <w:highlight w:val="none"/>
          <w:u w:val="single"/>
          <w:lang w:val="en-US" w:eastAsia="zh-CN"/>
        </w:rPr>
        <w:t>2025年度</w:t>
      </w:r>
      <w:r>
        <w:rPr>
          <w:rFonts w:hint="eastAsia" w:asciiTheme="minorEastAsia" w:hAnsiTheme="minorEastAsia" w:eastAsiaTheme="minorEastAsia" w:cstheme="minorEastAsia"/>
          <w:b/>
          <w:bCs/>
          <w:color w:val="auto"/>
          <w:sz w:val="24"/>
          <w:szCs w:val="24"/>
          <w:highlight w:val="none"/>
          <w:u w:val="single"/>
          <w:lang w:eastAsia="zh-CN"/>
        </w:rPr>
        <w:t>数据服务</w:t>
      </w:r>
      <w:r>
        <w:rPr>
          <w:rFonts w:hint="eastAsia" w:asciiTheme="minorEastAsia" w:hAnsiTheme="minorEastAsia" w:eastAsiaTheme="minorEastAsia" w:cstheme="minorEastAsia"/>
          <w:b/>
          <w:bCs/>
          <w:color w:val="auto"/>
          <w:sz w:val="24"/>
          <w:szCs w:val="24"/>
          <w:highlight w:val="none"/>
          <w:u w:val="single"/>
        </w:rPr>
        <w:t>项目</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HRZ25C192</w:t>
      </w:r>
      <w:r>
        <w:rPr>
          <w:rFonts w:hint="eastAsia" w:asciiTheme="minorEastAsia" w:hAnsiTheme="minorEastAsia" w:eastAsiaTheme="minorEastAsia" w:cstheme="minorEastAsia"/>
          <w:color w:val="auto"/>
          <w:sz w:val="24"/>
          <w:szCs w:val="24"/>
          <w:highlight w:val="none"/>
        </w:rPr>
        <w:t>）进行竞争性磋商采购。欢迎有资格的供应商前来参与磋商。</w:t>
      </w:r>
    </w:p>
    <w:p>
      <w:pPr>
        <w:pStyle w:val="3"/>
        <w:numPr>
          <w:ilvl w:val="0"/>
          <w:numId w:val="13"/>
        </w:numPr>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6" w:name="_Toc317775175"/>
      <w:bookmarkEnd w:id="6"/>
      <w:bookmarkStart w:id="7" w:name="_Toc313893526"/>
      <w:bookmarkEnd w:id="7"/>
      <w:bookmarkStart w:id="8" w:name="_Toc111"/>
      <w:bookmarkEnd w:id="8"/>
      <w:bookmarkStart w:id="9" w:name="_Toc76462317"/>
      <w:bookmarkEnd w:id="9"/>
      <w:bookmarkStart w:id="10" w:name="_Toc106030871"/>
      <w:bookmarkEnd w:id="10"/>
      <w:bookmarkStart w:id="11" w:name="_Toc13641"/>
      <w:r>
        <w:rPr>
          <w:rFonts w:hint="eastAsia" w:asciiTheme="minorEastAsia" w:hAnsiTheme="minorEastAsia" w:eastAsiaTheme="minorEastAsia" w:cstheme="minorEastAsia"/>
          <w:color w:val="auto"/>
          <w:sz w:val="24"/>
          <w:highlight w:val="none"/>
        </w:rPr>
        <w:t>竞争性磋商内容</w:t>
      </w:r>
      <w:bookmarkEnd w:id="11"/>
    </w:p>
    <w:tbl>
      <w:tblPr>
        <w:tblStyle w:val="57"/>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gridCol w:w="2031"/>
        <w:gridCol w:w="1712"/>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vAlign w:val="center"/>
          </w:tcPr>
          <w:p>
            <w:pPr>
              <w:pStyle w:val="24"/>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项目名称</w:t>
            </w:r>
          </w:p>
        </w:tc>
        <w:tc>
          <w:tcPr>
            <w:tcW w:w="2031" w:type="dxa"/>
            <w:vAlign w:val="center"/>
          </w:tcPr>
          <w:p>
            <w:pPr>
              <w:pStyle w:val="24"/>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最高限价（万元）</w:t>
            </w:r>
          </w:p>
        </w:tc>
        <w:tc>
          <w:tcPr>
            <w:tcW w:w="1712" w:type="dxa"/>
            <w:vAlign w:val="center"/>
          </w:tcPr>
          <w:p>
            <w:pPr>
              <w:pStyle w:val="24"/>
              <w:spacing w:line="240" w:lineRule="auto"/>
              <w:ind w:left="0" w:leftChars="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磋商保证金（元）</w:t>
            </w:r>
          </w:p>
        </w:tc>
        <w:tc>
          <w:tcPr>
            <w:tcW w:w="1770" w:type="dxa"/>
            <w:vAlign w:val="center"/>
          </w:tcPr>
          <w:p>
            <w:pPr>
              <w:pStyle w:val="24"/>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成交供应商</w:t>
            </w:r>
            <w:r>
              <w:rPr>
                <w:rFonts w:hint="eastAsia" w:asciiTheme="minorEastAsia" w:hAnsiTheme="minorEastAsia" w:eastAsiaTheme="minorEastAsia" w:cstheme="minorEastAsia"/>
                <w:b/>
                <w:color w:val="auto"/>
                <w:sz w:val="21"/>
                <w:szCs w:val="21"/>
                <w:highlight w:val="none"/>
              </w:rPr>
              <w:t>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258" w:type="dxa"/>
            <w:vAlign w:val="center"/>
          </w:tcPr>
          <w:p>
            <w:pPr>
              <w:pStyle w:val="24"/>
              <w:spacing w:line="240" w:lineRule="auto"/>
              <w:ind w:left="0"/>
              <w:jc w:val="left"/>
              <w:outlineLvl w:val="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重庆工会职工服务平台与“职工之家”APP融合互促—</w:t>
            </w:r>
            <w:r>
              <w:rPr>
                <w:rFonts w:hint="eastAsia" w:asciiTheme="minorEastAsia" w:hAnsiTheme="minorEastAsia" w:eastAsiaTheme="minorEastAsia" w:cstheme="minorEastAsia"/>
                <w:color w:val="auto"/>
                <w:sz w:val="21"/>
                <w:szCs w:val="21"/>
                <w:highlight w:val="none"/>
                <w:lang w:val="en-US" w:eastAsia="zh-CN"/>
              </w:rPr>
              <w:t>2025年度</w:t>
            </w:r>
            <w:r>
              <w:rPr>
                <w:rFonts w:hint="eastAsia" w:asciiTheme="minorEastAsia" w:hAnsiTheme="minorEastAsia" w:eastAsiaTheme="minorEastAsia" w:cstheme="minorEastAsia"/>
                <w:color w:val="auto"/>
                <w:sz w:val="21"/>
                <w:szCs w:val="21"/>
                <w:highlight w:val="none"/>
                <w:lang w:eastAsia="zh-CN"/>
              </w:rPr>
              <w:t>数据服务</w:t>
            </w:r>
            <w:r>
              <w:rPr>
                <w:rFonts w:hint="eastAsia" w:asciiTheme="minorEastAsia" w:hAnsiTheme="minorEastAsia" w:eastAsiaTheme="minorEastAsia" w:cstheme="minorEastAsia"/>
                <w:color w:val="auto"/>
                <w:sz w:val="21"/>
                <w:szCs w:val="21"/>
                <w:highlight w:val="none"/>
                <w:lang w:val="en-US" w:eastAsia="zh-CN"/>
              </w:rPr>
              <w:t>项目</w:t>
            </w:r>
          </w:p>
        </w:tc>
        <w:tc>
          <w:tcPr>
            <w:tcW w:w="2031" w:type="dxa"/>
            <w:vAlign w:val="center"/>
          </w:tcPr>
          <w:p>
            <w:pPr>
              <w:pStyle w:val="24"/>
              <w:spacing w:line="240" w:lineRule="auto"/>
              <w:ind w:left="0"/>
              <w:jc w:val="center"/>
              <w:outlineLvl w:val="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w:t>
            </w:r>
          </w:p>
        </w:tc>
        <w:tc>
          <w:tcPr>
            <w:tcW w:w="1712" w:type="dxa"/>
            <w:vAlign w:val="center"/>
          </w:tcPr>
          <w:p>
            <w:pPr>
              <w:pStyle w:val="24"/>
              <w:spacing w:line="240" w:lineRule="auto"/>
              <w:ind w:left="0" w:leftChars="0"/>
              <w:jc w:val="center"/>
              <w:outlineLvl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6000</w:t>
            </w:r>
          </w:p>
        </w:tc>
        <w:tc>
          <w:tcPr>
            <w:tcW w:w="1770" w:type="dxa"/>
            <w:vAlign w:val="center"/>
          </w:tcPr>
          <w:p>
            <w:pPr>
              <w:pStyle w:val="24"/>
              <w:spacing w:line="240" w:lineRule="auto"/>
              <w:ind w:left="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r>
    </w:tbl>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2" w:name="_Toc76462318"/>
      <w:bookmarkEnd w:id="12"/>
      <w:bookmarkStart w:id="13" w:name="_Toc106030872"/>
      <w:bookmarkEnd w:id="13"/>
      <w:bookmarkStart w:id="14" w:name="_Toc21035"/>
      <w:bookmarkEnd w:id="14"/>
      <w:bookmarkStart w:id="15" w:name="_Toc2694"/>
      <w:bookmarkStart w:id="16" w:name="_Toc373860293"/>
      <w:bookmarkStart w:id="17" w:name="_Toc317775178"/>
      <w:r>
        <w:rPr>
          <w:rFonts w:hint="eastAsia" w:asciiTheme="minorEastAsia" w:hAnsiTheme="minorEastAsia" w:eastAsiaTheme="minorEastAsia" w:cstheme="minorEastAsia"/>
          <w:color w:val="auto"/>
          <w:sz w:val="24"/>
          <w:highlight w:val="none"/>
        </w:rPr>
        <w:t>二、资金来源</w:t>
      </w:r>
      <w:bookmarkEnd w:id="15"/>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单位自筹资金。</w:t>
      </w: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8" w:name="_Toc76462319"/>
      <w:bookmarkEnd w:id="18"/>
      <w:bookmarkStart w:id="19" w:name="_Toc106030873"/>
      <w:bookmarkEnd w:id="19"/>
      <w:bookmarkStart w:id="20" w:name="_Toc29613"/>
      <w:bookmarkEnd w:id="20"/>
      <w:bookmarkStart w:id="21" w:name="_Toc29441"/>
      <w:r>
        <w:rPr>
          <w:rFonts w:hint="eastAsia" w:asciiTheme="minorEastAsia" w:hAnsiTheme="minorEastAsia" w:eastAsiaTheme="minorEastAsia" w:cstheme="minorEastAsia"/>
          <w:color w:val="auto"/>
          <w:sz w:val="24"/>
          <w:highlight w:val="none"/>
        </w:rPr>
        <w:t>三、供应商资格条件</w:t>
      </w:r>
      <w:bookmarkEnd w:id="21"/>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基本资格条件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具有独立承担民事责任的能力；</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具有良好的商业信誉和健全的财务会计制度；</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具有履行合同所必需的设备和专业技术能力；</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4、具</w:t>
      </w:r>
      <w:r>
        <w:rPr>
          <w:rFonts w:hint="eastAsia" w:asciiTheme="minorEastAsia" w:hAnsiTheme="minorEastAsia" w:eastAsiaTheme="minorEastAsia" w:cstheme="minorEastAsia"/>
          <w:color w:val="auto"/>
          <w:sz w:val="24"/>
          <w:szCs w:val="24"/>
          <w:highlight w:val="none"/>
        </w:rPr>
        <w:t>有依法缴纳税收和社会保障资金的良好记录；</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参加采购活动前三年内，在经营活动中没有重大违法记录；</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法律、行政法规规定的其他条件。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特定资格条件：本项目允许分公司（分支机构）参与磋商，</w:t>
      </w:r>
      <w:r>
        <w:rPr>
          <w:rFonts w:hint="eastAsia" w:asciiTheme="minorEastAsia" w:hAnsiTheme="minorEastAsia" w:eastAsiaTheme="minorEastAsia" w:cstheme="minorEastAsia"/>
          <w:color w:val="auto"/>
          <w:sz w:val="24"/>
          <w:szCs w:val="24"/>
          <w:highlight w:val="none"/>
        </w:rPr>
        <w:t>如为</w:t>
      </w:r>
      <w:r>
        <w:rPr>
          <w:rFonts w:hint="eastAsia" w:asciiTheme="minorEastAsia" w:hAnsiTheme="minorEastAsia" w:eastAsiaTheme="minorEastAsia" w:cstheme="minorEastAsia"/>
          <w:color w:val="auto"/>
          <w:sz w:val="24"/>
          <w:szCs w:val="24"/>
          <w:highlight w:val="none"/>
          <w:lang w:eastAsia="zh-CN"/>
        </w:rPr>
        <w:t>分公司（分支机构）</w:t>
      </w:r>
      <w:r>
        <w:rPr>
          <w:rFonts w:hint="eastAsia" w:asciiTheme="minorEastAsia" w:hAnsiTheme="minorEastAsia" w:eastAsiaTheme="minorEastAsia" w:cstheme="minorEastAsia"/>
          <w:color w:val="auto"/>
          <w:sz w:val="24"/>
          <w:szCs w:val="24"/>
          <w:highlight w:val="none"/>
        </w:rPr>
        <w:t>参与</w:t>
      </w:r>
      <w:r>
        <w:rPr>
          <w:rFonts w:hint="eastAsia" w:asciiTheme="minorEastAsia" w:hAnsiTheme="minorEastAsia" w:eastAsiaTheme="minorEastAsia" w:cstheme="minorEastAsia"/>
          <w:color w:val="auto"/>
          <w:sz w:val="24"/>
          <w:szCs w:val="24"/>
          <w:highlight w:val="none"/>
          <w:lang w:val="en-US" w:eastAsia="zh-CN"/>
        </w:rPr>
        <w:t>磋商的</w:t>
      </w:r>
      <w:r>
        <w:rPr>
          <w:rFonts w:hint="eastAsia" w:asciiTheme="minorEastAsia" w:hAnsiTheme="minorEastAsia" w:eastAsiaTheme="minorEastAsia" w:cstheme="minorEastAsia"/>
          <w:color w:val="auto"/>
          <w:sz w:val="24"/>
          <w:szCs w:val="24"/>
          <w:highlight w:val="none"/>
        </w:rPr>
        <w:t>，需</w:t>
      </w:r>
      <w:r>
        <w:rPr>
          <w:rFonts w:hint="eastAsia" w:asciiTheme="minorEastAsia" w:hAnsiTheme="minorEastAsia" w:eastAsiaTheme="minorEastAsia" w:cstheme="minorEastAsia"/>
          <w:color w:val="auto"/>
          <w:sz w:val="24"/>
          <w:szCs w:val="24"/>
          <w:highlight w:val="none"/>
          <w:lang w:val="en-US" w:eastAsia="zh-CN"/>
        </w:rPr>
        <w:t>在响应文件中</w:t>
      </w:r>
      <w:r>
        <w:rPr>
          <w:rFonts w:hint="eastAsia" w:asciiTheme="minorEastAsia" w:hAnsiTheme="minorEastAsia" w:eastAsiaTheme="minorEastAsia" w:cstheme="minorEastAsia"/>
          <w:color w:val="auto"/>
          <w:sz w:val="24"/>
          <w:szCs w:val="24"/>
          <w:highlight w:val="none"/>
        </w:rPr>
        <w:t>提供</w:t>
      </w:r>
      <w:r>
        <w:rPr>
          <w:rFonts w:hint="eastAsia" w:asciiTheme="minorEastAsia" w:hAnsiTheme="minorEastAsia" w:eastAsiaTheme="minorEastAsia" w:cstheme="minorEastAsia"/>
          <w:color w:val="auto"/>
          <w:sz w:val="24"/>
          <w:szCs w:val="24"/>
          <w:highlight w:val="none"/>
          <w:lang w:eastAsia="zh-CN"/>
        </w:rPr>
        <w:t>总公司（</w:t>
      </w:r>
      <w:r>
        <w:rPr>
          <w:rFonts w:hint="eastAsia" w:asciiTheme="minorEastAsia" w:hAnsiTheme="minorEastAsia" w:eastAsiaTheme="minorEastAsia" w:cstheme="minorEastAsia"/>
          <w:color w:val="auto"/>
          <w:sz w:val="24"/>
          <w:szCs w:val="24"/>
          <w:highlight w:val="none"/>
          <w:lang w:val="en-US" w:eastAsia="zh-CN"/>
        </w:rPr>
        <w:t>总部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eastAsia="zh-CN"/>
        </w:rPr>
        <w:t>分公司（分支机构）</w:t>
      </w:r>
      <w:r>
        <w:rPr>
          <w:rFonts w:hint="eastAsia" w:asciiTheme="minorEastAsia" w:hAnsiTheme="minorEastAsia" w:eastAsiaTheme="minorEastAsia" w:cstheme="minorEastAsia"/>
          <w:color w:val="auto"/>
          <w:sz w:val="24"/>
          <w:szCs w:val="24"/>
          <w:highlight w:val="none"/>
        </w:rPr>
        <w:t>的授权书</w:t>
      </w:r>
      <w:r>
        <w:rPr>
          <w:rFonts w:hint="eastAsia" w:asciiTheme="minorEastAsia" w:hAnsiTheme="minorEastAsia" w:eastAsiaTheme="minorEastAsia" w:cstheme="minorEastAsia"/>
          <w:color w:val="auto"/>
          <w:sz w:val="24"/>
          <w:szCs w:val="24"/>
          <w:highlight w:val="none"/>
          <w:lang w:val="en-US" w:eastAsia="zh-CN"/>
        </w:rPr>
        <w:t>复印件加盖供应商公章</w:t>
      </w:r>
      <w:r>
        <w:rPr>
          <w:rFonts w:hint="eastAsia" w:asciiTheme="minorEastAsia" w:hAnsiTheme="minorEastAsia" w:eastAsiaTheme="minorEastAsia" w:cstheme="minorEastAsia"/>
          <w:color w:val="auto"/>
          <w:sz w:val="24"/>
          <w:szCs w:val="24"/>
          <w:highlight w:val="none"/>
        </w:rPr>
        <w:t>，且同一</w:t>
      </w:r>
      <w:r>
        <w:rPr>
          <w:rFonts w:hint="eastAsia" w:asciiTheme="minorEastAsia" w:hAnsiTheme="minorEastAsia" w:eastAsiaTheme="minorEastAsia" w:cstheme="minorEastAsia"/>
          <w:color w:val="auto"/>
          <w:sz w:val="24"/>
          <w:szCs w:val="24"/>
          <w:highlight w:val="none"/>
          <w:lang w:eastAsia="zh-CN"/>
        </w:rPr>
        <w:t>总公司（总部）</w:t>
      </w:r>
      <w:r>
        <w:rPr>
          <w:rFonts w:hint="eastAsia" w:asciiTheme="minorEastAsia" w:hAnsiTheme="minorEastAsia" w:eastAsiaTheme="minorEastAsia" w:cstheme="minorEastAsia"/>
          <w:color w:val="auto"/>
          <w:sz w:val="24"/>
          <w:szCs w:val="24"/>
          <w:highlight w:val="none"/>
        </w:rPr>
        <w:t>只能授权一家</w:t>
      </w:r>
      <w:r>
        <w:rPr>
          <w:rFonts w:hint="eastAsia" w:asciiTheme="minorEastAsia" w:hAnsiTheme="minorEastAsia" w:eastAsiaTheme="minorEastAsia" w:cstheme="minorEastAsia"/>
          <w:color w:val="auto"/>
          <w:sz w:val="24"/>
          <w:szCs w:val="24"/>
          <w:highlight w:val="none"/>
          <w:lang w:eastAsia="zh-CN"/>
        </w:rPr>
        <w:t>分公司（分支机构）</w:t>
      </w:r>
      <w:r>
        <w:rPr>
          <w:rFonts w:hint="eastAsia" w:asciiTheme="minorEastAsia" w:hAnsiTheme="minorEastAsia" w:eastAsiaTheme="minorEastAsia" w:cstheme="minorEastAsia"/>
          <w:color w:val="auto"/>
          <w:sz w:val="24"/>
          <w:szCs w:val="24"/>
          <w:highlight w:val="none"/>
        </w:rPr>
        <w:t>参与</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，若授权多家</w:t>
      </w:r>
      <w:r>
        <w:rPr>
          <w:rFonts w:hint="eastAsia" w:asciiTheme="minorEastAsia" w:hAnsiTheme="minorEastAsia" w:eastAsiaTheme="minorEastAsia" w:cstheme="minorEastAsia"/>
          <w:color w:val="auto"/>
          <w:sz w:val="24"/>
          <w:szCs w:val="24"/>
          <w:highlight w:val="none"/>
          <w:lang w:eastAsia="zh-CN"/>
        </w:rPr>
        <w:t>分公司（分支机构）</w:t>
      </w:r>
      <w:r>
        <w:rPr>
          <w:rFonts w:hint="eastAsia" w:asciiTheme="minorEastAsia" w:hAnsiTheme="minorEastAsia" w:eastAsiaTheme="minorEastAsia" w:cstheme="minorEastAsia"/>
          <w:color w:val="auto"/>
          <w:sz w:val="24"/>
          <w:szCs w:val="24"/>
          <w:highlight w:val="none"/>
        </w:rPr>
        <w:t>参与</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的，被授权的所有</w:t>
      </w:r>
      <w:r>
        <w:rPr>
          <w:rFonts w:hint="eastAsia" w:asciiTheme="minorEastAsia" w:hAnsiTheme="minorEastAsia" w:eastAsiaTheme="minorEastAsia" w:cstheme="minorEastAsia"/>
          <w:color w:val="auto"/>
          <w:sz w:val="24"/>
          <w:szCs w:val="24"/>
          <w:highlight w:val="none"/>
          <w:lang w:eastAsia="zh-CN"/>
        </w:rPr>
        <w:t>分公司（分支机构）</w:t>
      </w:r>
      <w:r>
        <w:rPr>
          <w:rFonts w:hint="eastAsia" w:asciiTheme="minorEastAsia" w:hAnsiTheme="minorEastAsia" w:eastAsiaTheme="minorEastAsia" w:cstheme="minorEastAsia"/>
          <w:color w:val="auto"/>
          <w:sz w:val="24"/>
          <w:szCs w:val="24"/>
          <w:highlight w:val="none"/>
        </w:rPr>
        <w:t>均为无效响应。</w:t>
      </w:r>
    </w:p>
    <w:bookmarkEnd w:id="16"/>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22" w:name="_Toc106030874"/>
      <w:bookmarkEnd w:id="22"/>
      <w:bookmarkStart w:id="23" w:name="_Toc24313"/>
      <w:bookmarkEnd w:id="23"/>
      <w:bookmarkStart w:id="24" w:name="_Toc76462320"/>
      <w:bookmarkEnd w:id="24"/>
      <w:bookmarkStart w:id="25" w:name="_Toc24685"/>
      <w:r>
        <w:rPr>
          <w:rFonts w:hint="eastAsia" w:asciiTheme="minorEastAsia" w:hAnsiTheme="minorEastAsia" w:eastAsiaTheme="minorEastAsia" w:cstheme="minorEastAsia"/>
          <w:color w:val="auto"/>
          <w:sz w:val="24"/>
          <w:highlight w:val="none"/>
        </w:rPr>
        <w:t>四、磋商有关说明</w:t>
      </w:r>
      <w:bookmarkEnd w:id="25"/>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（一）供应商应通过“重庆市行采家”网站（https://www.gec123.com/）登记加入重庆市行采家采购供应商库”。</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磋商的供应商，请在“重庆市行采家”网站（https://www.gec123.com/）上下载或到采购代理机构处领取本项目竞争性磋商文件以及图纸、澄清等磋商前公布的所有项目资料，无论供应商下载或领取与否，均视为已知晓所有磋商实质性要求内容。</w:t>
      </w:r>
    </w:p>
    <w:p>
      <w:pPr>
        <w:spacing w:line="400" w:lineRule="exact"/>
        <w:ind w:firstLine="481"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注：本项目采购公告及结果公告将在“重庆市总工会职工服务网”（https://www.cqgh.org/）同步进行公示。</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（三）竞争性磋商公告期限：自采购公告发布之日起三个工作日。</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（四）竞争性磋商文件发售期限： </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1.竞争性磋商文件发售期：202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18</w:t>
      </w:r>
      <w:r>
        <w:rPr>
          <w:rFonts w:hint="eastAsia" w:asciiTheme="minorEastAsia" w:hAnsiTheme="minorEastAsia" w:eastAsiaTheme="minorEastAsia" w:cstheme="minorEastAsia"/>
          <w:color w:val="auto"/>
          <w:sz w:val="24"/>
          <w:szCs w:val="24"/>
          <w:highlight w:val="none"/>
        </w:rPr>
        <w:t>日（9:00—17:00工作时间）。</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2.报名方式：</w:t>
      </w:r>
    </w:p>
    <w:p>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（1）潜在供应商将《采购文件发售登记表》（加盖供应商公章）及标书费转账凭证扫描后发送至8501629@qq.com。</w:t>
      </w:r>
    </w:p>
    <w:p>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（2）收款账户：</w:t>
      </w:r>
    </w:p>
    <w:p>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w:t>
      </w:r>
    </w:p>
    <w:p>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pPr>
        <w:widowControl/>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lang w:eastAsia="zh-CN"/>
        </w:rPr>
        <w:t>123907228910802</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（3）在磋商文件发售期内购买了磋商文件的供应商，其报名才被接收。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（4）潜在供应商未报名不得参与磋商。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3.竞争性磋商文件售价：人民币</w:t>
      </w:r>
      <w:r>
        <w:rPr>
          <w:rFonts w:hint="eastAsia" w:asciiTheme="minorEastAsia" w:hAnsiTheme="minorEastAsia" w:eastAsiaTheme="minorEastAsia" w:cstheme="minorEastAsia"/>
          <w:color w:val="auto"/>
          <w:sz w:val="24"/>
          <w:szCs w:val="24"/>
          <w:highlight w:val="none"/>
          <w:u w:val="single"/>
        </w:rPr>
        <w:t>300</w:t>
      </w:r>
      <w:r>
        <w:rPr>
          <w:rFonts w:hint="eastAsia" w:asciiTheme="minorEastAsia" w:hAnsiTheme="minorEastAsia" w:eastAsiaTheme="minorEastAsia" w:cstheme="minorEastAsia"/>
          <w:color w:val="auto"/>
          <w:sz w:val="24"/>
          <w:szCs w:val="24"/>
          <w:highlight w:val="none"/>
        </w:rPr>
        <w:t>元/包（售后不退）。</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（五）递交响应文件地点：</w:t>
      </w:r>
      <w:r>
        <w:rPr>
          <w:rFonts w:hint="eastAsia" w:asciiTheme="minorEastAsia" w:hAnsiTheme="minorEastAsia" w:eastAsiaTheme="minorEastAsia" w:cstheme="minorEastAsia"/>
          <w:color w:val="auto"/>
          <w:sz w:val="24"/>
          <w:szCs w:val="24"/>
          <w:highlight w:val="none"/>
          <w:u w:val="single"/>
        </w:rPr>
        <w:t>重庆</w:t>
      </w:r>
      <w:r>
        <w:rPr>
          <w:rFonts w:hint="eastAsia" w:asciiTheme="minorEastAsia" w:hAnsiTheme="minorEastAsia" w:eastAsiaTheme="minorEastAsia" w:cstheme="minorEastAsia"/>
          <w:color w:val="auto"/>
          <w:sz w:val="24"/>
          <w:szCs w:val="24"/>
          <w:highlight w:val="none"/>
          <w:u w:val="single"/>
          <w:lang w:eastAsia="zh-CN"/>
        </w:rPr>
        <w:t>宏仁</w:t>
      </w:r>
      <w:r>
        <w:rPr>
          <w:rFonts w:hint="eastAsia" w:asciiTheme="minorEastAsia" w:hAnsiTheme="minorEastAsia" w:eastAsiaTheme="minorEastAsia" w:cstheme="minorEastAsia"/>
          <w:color w:val="auto"/>
          <w:sz w:val="24"/>
          <w:szCs w:val="24"/>
          <w:highlight w:val="none"/>
          <w:u w:val="single"/>
        </w:rPr>
        <w:t>招标代理有限公司开标室（重庆市渝北区星光大道60号1楼）</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（六）响应文件递交</w:t>
      </w:r>
      <w:r>
        <w:rPr>
          <w:rFonts w:hint="eastAsia" w:asciiTheme="minorEastAsia" w:hAnsiTheme="minorEastAsia" w:eastAsiaTheme="minorEastAsia" w:cstheme="minorEastAsia"/>
          <w:color w:val="auto"/>
          <w:sz w:val="24"/>
          <w:szCs w:val="24"/>
          <w:highlight w:val="none"/>
          <w:lang w:val="en-US" w:eastAsia="zh-CN"/>
        </w:rPr>
        <w:t>开始</w:t>
      </w:r>
      <w:r>
        <w:rPr>
          <w:rFonts w:hint="eastAsia" w:asciiTheme="minorEastAsia" w:hAnsiTheme="minorEastAsia" w:eastAsiaTheme="minorEastAsia" w:cstheme="minorEastAsia"/>
          <w:color w:val="auto"/>
          <w:sz w:val="24"/>
          <w:szCs w:val="24"/>
          <w:highlight w:val="none"/>
        </w:rPr>
        <w:t>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21</w:t>
      </w:r>
      <w:r>
        <w:rPr>
          <w:rFonts w:hint="eastAsia" w:asciiTheme="minorEastAsia" w:hAnsiTheme="minorEastAsia" w:eastAsiaTheme="minorEastAsia" w:cstheme="minorEastAsia"/>
          <w:color w:val="auto"/>
          <w:sz w:val="24"/>
          <w:szCs w:val="24"/>
          <w:highlight w:val="none"/>
        </w:rPr>
        <w:t>日北京时间1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w:t>
      </w:r>
    </w:p>
    <w:p>
      <w:pPr>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）响应文件递交截止时间：202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21</w:t>
      </w:r>
      <w:r>
        <w:rPr>
          <w:rFonts w:hint="eastAsia" w:asciiTheme="minorEastAsia" w:hAnsiTheme="minorEastAsia" w:eastAsiaTheme="minorEastAsia" w:cstheme="minorEastAsia"/>
          <w:color w:val="auto"/>
          <w:sz w:val="24"/>
          <w:szCs w:val="24"/>
          <w:highlight w:val="none"/>
        </w:rPr>
        <w:t>日北京时间1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）磋商开始时间：202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21</w:t>
      </w:r>
      <w:r>
        <w:rPr>
          <w:rFonts w:hint="eastAsia" w:asciiTheme="minorEastAsia" w:hAnsiTheme="minorEastAsia" w:eastAsiaTheme="minorEastAsia" w:cstheme="minorEastAsia"/>
          <w:color w:val="auto"/>
          <w:sz w:val="24"/>
          <w:szCs w:val="24"/>
          <w:highlight w:val="none"/>
        </w:rPr>
        <w:t>日北京时间1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p>
      <w:pPr>
        <w:pStyle w:val="3"/>
        <w:adjustRightInd w:val="0"/>
        <w:snapToGrid w:val="0"/>
        <w:spacing w:before="0" w:after="0" w:line="400" w:lineRule="exact"/>
        <w:ind w:firstLine="481" w:firstLineChars="200"/>
        <w:rPr>
          <w:rFonts w:hint="default" w:asciiTheme="minorEastAsia" w:hAnsiTheme="minorEastAsia" w:eastAsiaTheme="minorEastAsia" w:cstheme="minorEastAsia"/>
          <w:color w:val="auto"/>
          <w:sz w:val="24"/>
          <w:highlight w:val="none"/>
          <w:lang w:val="en-US" w:eastAsia="zh-CN"/>
        </w:rPr>
      </w:pPr>
      <w:bookmarkStart w:id="26" w:name="_Toc75793500"/>
      <w:bookmarkEnd w:id="26"/>
      <w:bookmarkStart w:id="27" w:name="_Toc7836"/>
      <w:bookmarkEnd w:id="27"/>
      <w:bookmarkStart w:id="28" w:name="_Toc9290"/>
      <w:bookmarkEnd w:id="28"/>
      <w:bookmarkStart w:id="29" w:name="_Toc11844"/>
      <w:bookmarkEnd w:id="29"/>
      <w:bookmarkStart w:id="30" w:name="_Toc12090"/>
      <w:bookmarkEnd w:id="30"/>
      <w:bookmarkStart w:id="31" w:name="_Toc12663"/>
      <w:bookmarkEnd w:id="31"/>
      <w:bookmarkStart w:id="32" w:name="_Toc524"/>
      <w:bookmarkEnd w:id="32"/>
      <w:bookmarkStart w:id="33" w:name="_Toc18100"/>
      <w:bookmarkEnd w:id="33"/>
      <w:bookmarkStart w:id="34" w:name="_Toc106030376"/>
      <w:bookmarkEnd w:id="34"/>
      <w:bookmarkStart w:id="35" w:name="_Toc22111"/>
      <w:bookmarkEnd w:id="35"/>
      <w:bookmarkStart w:id="36" w:name="_Toc25854"/>
      <w:bookmarkEnd w:id="36"/>
      <w:bookmarkStart w:id="37" w:name="_Toc15717"/>
      <w:bookmarkEnd w:id="37"/>
      <w:bookmarkStart w:id="38" w:name="_Toc3476"/>
      <w:bookmarkEnd w:id="38"/>
      <w:bookmarkStart w:id="39" w:name="_Toc30895"/>
      <w:bookmarkEnd w:id="39"/>
      <w:bookmarkStart w:id="40" w:name="_Toc23960"/>
      <w:bookmarkEnd w:id="40"/>
      <w:bookmarkStart w:id="41" w:name="_Toc17730"/>
      <w:r>
        <w:rPr>
          <w:rFonts w:hint="eastAsia" w:asciiTheme="minorEastAsia" w:hAnsiTheme="minorEastAsia" w:eastAsiaTheme="minorEastAsia" w:cstheme="minorEastAsia"/>
          <w:color w:val="auto"/>
          <w:sz w:val="24"/>
          <w:highlight w:val="none"/>
          <w:lang w:val="en-US" w:eastAsia="zh-CN"/>
        </w:rPr>
        <w:t>五、保证金</w:t>
      </w:r>
      <w:bookmarkEnd w:id="41"/>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（一）磋商保证金</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1.转账方式</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1.1供应商应足额交纳磋商保证金（保证金金额详见本篇，一、竞争性磋商内容），并汇至以下账户，保证金的到账截止时间为“磋商开始时间”前一日北京时间17时00分。</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磋商保证金缴纳账户：</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户名：重庆宏仁招标代理有限公司</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账号：123907228910802</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1.2各供应商在银行转账（电汇）时，须充分考虑银行转账（电汇）的时间差风险，如同城转账、异地转账或汇款、跨行转账或电汇的时间要求。</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1.未成交供应商的保证金，在成交通知书发放后，在五个工作日内按来款渠道直接退还。</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2.成交供应商的保证金，在成交供应商与采购人签订合同后，在五个工作日内按资金来款渠道直接退还</w:t>
      </w:r>
      <w:r>
        <w:rPr>
          <w:rFonts w:hint="eastAsia" w:asciiTheme="minorEastAsia" w:hAnsiTheme="minorEastAsia" w:eastAsiaTheme="minorEastAsia" w:cstheme="minorEastAsia"/>
          <w:color w:val="auto"/>
          <w:sz w:val="24"/>
          <w:szCs w:val="24"/>
          <w:highlight w:val="none"/>
          <w:lang w:eastAsia="zh-CN"/>
        </w:rPr>
        <w:t>。</w:t>
      </w: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42" w:name="_Toc27236"/>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w:t>
      </w:r>
      <w:bookmarkEnd w:id="17"/>
      <w:r>
        <w:rPr>
          <w:rFonts w:hint="eastAsia" w:asciiTheme="minorEastAsia" w:hAnsiTheme="minorEastAsia" w:eastAsiaTheme="minorEastAsia" w:cstheme="minorEastAsia"/>
          <w:color w:val="auto"/>
          <w:sz w:val="24"/>
          <w:highlight w:val="none"/>
        </w:rPr>
        <w:t>其它有关规定</w:t>
      </w:r>
      <w:bookmarkEnd w:id="42"/>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活动，否则均为无效响应。</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（二）为采购项目提供整体设计、规范编制或者项目管理、监理、检测等服务的供应商，不得再参加该采购项目的其他采购活动。</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的澄清文件（如果有）一律在“重庆市行采家”网站（https://www.gec123.com/）上发布，请各供应商注意下载或到采购代理机构处领取；无论供应商下载或领取与否，均视同供应商已知晓本项目澄清文件（如果有）的内容。</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（四）超过响应文件截止时间递交的响应文件，恕不接收。</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（五）磋商费用：无论磋商结果如何，供应商参与本项目磋商的所有费用均应由供应商自行承担。</w:t>
      </w:r>
    </w:p>
    <w:p>
      <w:pPr>
        <w:snapToGrid w:val="0"/>
        <w:spacing w:line="400" w:lineRule="exact"/>
        <w:ind w:firstLine="360"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b/>
          <w:color w:val="auto"/>
          <w:sz w:val="24"/>
          <w:szCs w:val="24"/>
          <w:highlight w:val="none"/>
        </w:rPr>
        <w:t>本项目不接受联合体参与磋商，否则按无效响应处理。</w:t>
      </w:r>
    </w:p>
    <w:p>
      <w:pPr>
        <w:snapToGrid w:val="0"/>
        <w:spacing w:line="400" w:lineRule="exact"/>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b/>
          <w:color w:val="auto"/>
          <w:sz w:val="24"/>
          <w:szCs w:val="24"/>
          <w:highlight w:val="none"/>
        </w:rPr>
        <w:t>本项目不接受合同分包</w:t>
      </w:r>
      <w:r>
        <w:rPr>
          <w:rFonts w:hint="eastAsia" w:asciiTheme="minorEastAsia" w:hAnsiTheme="minorEastAsia" w:eastAsiaTheme="minorEastAsia" w:cstheme="minorEastAsia"/>
          <w:b/>
          <w:i/>
          <w:iCs/>
          <w:color w:val="auto"/>
          <w:sz w:val="24"/>
          <w:szCs w:val="24"/>
          <w:highlight w:val="none"/>
        </w:rPr>
        <w:t>，</w:t>
      </w:r>
      <w:r>
        <w:rPr>
          <w:rFonts w:hint="eastAsia" w:asciiTheme="minorEastAsia" w:hAnsiTheme="minorEastAsia" w:eastAsiaTheme="minorEastAsia" w:cstheme="minorEastAsia"/>
          <w:b/>
          <w:color w:val="auto"/>
          <w:sz w:val="24"/>
          <w:szCs w:val="24"/>
          <w:highlight w:val="none"/>
        </w:rPr>
        <w:t>否则按无效响应处理。</w:t>
      </w:r>
    </w:p>
    <w:p>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lang w:eastAsia="zh-CN"/>
        </w:rPr>
      </w:pPr>
      <w:bookmarkStart w:id="43" w:name="_Toc480466700"/>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eastAsia="zh-CN"/>
        </w:rPr>
        <w:t>）授权分公司（分支机构）参与磋商的，磋商文件要求“法定代表人”签署、</w:t>
      </w:r>
      <w:r>
        <w:rPr>
          <w:rFonts w:hint="eastAsia" w:asciiTheme="minorEastAsia" w:hAnsiTheme="minorEastAsia" w:eastAsiaTheme="minorEastAsia" w:cstheme="minorEastAsia"/>
          <w:b/>
          <w:bCs/>
          <w:color w:val="auto"/>
          <w:sz w:val="24"/>
          <w:szCs w:val="24"/>
          <w:highlight w:val="none"/>
          <w:lang w:val="en-US" w:eastAsia="zh-CN"/>
        </w:rPr>
        <w:t>授权</w:t>
      </w:r>
      <w:r>
        <w:rPr>
          <w:rFonts w:hint="eastAsia" w:asciiTheme="minorEastAsia" w:hAnsiTheme="minorEastAsia" w:eastAsiaTheme="minorEastAsia" w:cstheme="minorEastAsia"/>
          <w:b/>
          <w:bCs/>
          <w:color w:val="auto"/>
          <w:sz w:val="24"/>
          <w:szCs w:val="24"/>
          <w:highlight w:val="none"/>
          <w:lang w:eastAsia="zh-CN"/>
        </w:rPr>
        <w:t>的，</w:t>
      </w:r>
      <w:r>
        <w:rPr>
          <w:rFonts w:hint="eastAsia" w:asciiTheme="minorEastAsia" w:hAnsiTheme="minorEastAsia" w:eastAsiaTheme="minorEastAsia" w:cstheme="minorEastAsia"/>
          <w:b/>
          <w:bCs/>
          <w:color w:val="auto"/>
          <w:sz w:val="24"/>
          <w:szCs w:val="24"/>
          <w:highlight w:val="none"/>
          <w:lang w:val="en-US" w:eastAsia="zh-CN"/>
        </w:rPr>
        <w:t>由</w:t>
      </w:r>
      <w:r>
        <w:rPr>
          <w:rFonts w:hint="eastAsia" w:asciiTheme="minorEastAsia" w:hAnsiTheme="minorEastAsia" w:eastAsiaTheme="minorEastAsia" w:cstheme="minorEastAsia"/>
          <w:b/>
          <w:bCs/>
          <w:color w:val="auto"/>
          <w:sz w:val="24"/>
          <w:szCs w:val="24"/>
          <w:highlight w:val="none"/>
          <w:lang w:eastAsia="zh-CN"/>
        </w:rPr>
        <w:t>被授权分公司（分支机构）单位负责人签署、</w:t>
      </w:r>
      <w:r>
        <w:rPr>
          <w:rFonts w:hint="eastAsia" w:asciiTheme="minorEastAsia" w:hAnsiTheme="minorEastAsia" w:eastAsiaTheme="minorEastAsia" w:cstheme="minorEastAsia"/>
          <w:b/>
          <w:bCs/>
          <w:color w:val="auto"/>
          <w:sz w:val="24"/>
          <w:szCs w:val="24"/>
          <w:highlight w:val="none"/>
          <w:lang w:val="en-US" w:eastAsia="zh-CN"/>
        </w:rPr>
        <w:t>授权</w:t>
      </w:r>
      <w:r>
        <w:rPr>
          <w:rFonts w:hint="eastAsia" w:asciiTheme="minorEastAsia" w:hAnsiTheme="minorEastAsia" w:eastAsiaTheme="minorEastAsia" w:cstheme="minorEastAsia"/>
          <w:b/>
          <w:bCs/>
          <w:color w:val="auto"/>
          <w:sz w:val="24"/>
          <w:szCs w:val="24"/>
          <w:highlight w:val="none"/>
          <w:lang w:eastAsia="zh-CN"/>
        </w:rPr>
        <w:t>。</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）参照《财政部关于在</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活动中查询及使用信用记录有关问题的通知》财库〔2016〕125号，供应商列入失信被执行人、重大税收违法案件当事人名单、</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严重违法失信行为记录名单及其他不符合《中华人民共和国</w:t>
      </w:r>
      <w:r>
        <w:rPr>
          <w:rFonts w:hint="eastAsia" w:asciiTheme="minorEastAsia" w:hAnsiTheme="minorEastAsia" w:eastAsiaTheme="minorEastAsia" w:cstheme="minorEastAsia"/>
          <w:color w:val="auto"/>
          <w:sz w:val="24"/>
          <w:szCs w:val="24"/>
          <w:highlight w:val="none"/>
          <w:lang w:val="en-US" w:eastAsia="zh-CN"/>
        </w:rPr>
        <w:t>政府</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法》第二十二条规定条件的供应商，将拒绝其参与本项目采购活动。</w:t>
      </w:r>
    </w:p>
    <w:bookmarkEnd w:id="43"/>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44" w:name="_Toc76462323"/>
      <w:bookmarkEnd w:id="44"/>
      <w:bookmarkStart w:id="45" w:name="_Toc106030877"/>
      <w:bookmarkEnd w:id="45"/>
      <w:bookmarkStart w:id="46" w:name="_Toc32225"/>
      <w:bookmarkEnd w:id="46"/>
      <w:bookmarkStart w:id="47" w:name="_Toc12105"/>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、联系方式</w:t>
      </w:r>
      <w:bookmarkEnd w:id="47"/>
    </w:p>
    <w:p>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（一）采购人：</w:t>
      </w:r>
      <w:r>
        <w:rPr>
          <w:rFonts w:hint="eastAsia" w:asciiTheme="minorEastAsia" w:hAnsiTheme="minorEastAsia" w:eastAsiaTheme="minorEastAsia" w:cstheme="minorEastAsia"/>
          <w:color w:val="auto"/>
          <w:sz w:val="24"/>
          <w:szCs w:val="24"/>
          <w:highlight w:val="none"/>
          <w:lang w:eastAsia="zh-CN"/>
        </w:rPr>
        <w:t>重庆市总工会</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谭</w:t>
      </w:r>
      <w:r>
        <w:rPr>
          <w:rFonts w:hint="eastAsia" w:asciiTheme="minorEastAsia" w:hAnsiTheme="minorEastAsia" w:eastAsiaTheme="minorEastAsia" w:cstheme="minorEastAsia"/>
          <w:color w:val="auto"/>
          <w:sz w:val="24"/>
          <w:szCs w:val="24"/>
          <w:highlight w:val="none"/>
        </w:rPr>
        <w:t>老师</w:t>
      </w:r>
    </w:p>
    <w:p>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话：023-63</w:t>
      </w:r>
      <w:r>
        <w:rPr>
          <w:rFonts w:hint="eastAsia" w:asciiTheme="minorEastAsia" w:hAnsiTheme="minorEastAsia" w:eastAsiaTheme="minorEastAsia" w:cstheme="minorEastAsia"/>
          <w:color w:val="auto"/>
          <w:sz w:val="24"/>
          <w:szCs w:val="24"/>
          <w:highlight w:val="none"/>
          <w:lang w:val="en-US" w:eastAsia="zh-CN"/>
        </w:rPr>
        <w:t>857019</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址：重庆市渝中区中山二路174号</w:t>
      </w:r>
    </w:p>
    <w:p>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蒋</w:t>
      </w:r>
      <w:r>
        <w:rPr>
          <w:rFonts w:hint="eastAsia" w:asciiTheme="minorEastAsia" w:hAnsiTheme="minorEastAsia" w:eastAsiaTheme="minorEastAsia" w:cstheme="minorEastAsia"/>
          <w:color w:val="auto"/>
          <w:sz w:val="24"/>
          <w:szCs w:val="24"/>
          <w:highlight w:val="none"/>
        </w:rPr>
        <w:t xml:space="preserve">老师 </w:t>
      </w:r>
    </w:p>
    <w:p>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话：19122472100</w:t>
      </w:r>
    </w:p>
    <w:p>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址：重庆市渝北区星光大道60号</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2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附表—— 《采购文件发售登记表》</w:t>
      </w:r>
    </w:p>
    <w:p>
      <w:pPr>
        <w:jc w:val="center"/>
        <w:rPr>
          <w:rFonts w:hint="eastAsia" w:asciiTheme="minorEastAsia" w:hAnsiTheme="minorEastAsia" w:eastAsiaTheme="minorEastAsia" w:cstheme="minorEastAsia"/>
          <w:b/>
          <w:bCs/>
          <w:color w:val="auto"/>
          <w:sz w:val="44"/>
          <w:szCs w:val="44"/>
          <w:highlight w:val="none"/>
        </w:rPr>
      </w:pPr>
    </w:p>
    <w:p>
      <w:pPr>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采购文件发售登记表</w:t>
      </w:r>
    </w:p>
    <w:p>
      <w:pPr>
        <w:jc w:val="left"/>
        <w:rPr>
          <w:rFonts w:hint="eastAsia" w:asciiTheme="minorEastAsia" w:hAnsiTheme="minorEastAsia" w:eastAsiaTheme="minorEastAsia" w:cstheme="minorEastAsia"/>
          <w:b/>
          <w:bCs/>
          <w:color w:val="auto"/>
          <w:spacing w:val="40"/>
          <w:highlight w:val="none"/>
        </w:rPr>
      </w:pPr>
    </w:p>
    <w:tbl>
      <w:tblPr>
        <w:tblStyle w:val="57"/>
        <w:tblW w:w="89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2081"/>
        <w:gridCol w:w="958"/>
        <w:gridCol w:w="36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2275" w:type="dxa"/>
            <w:vAlign w:val="center"/>
          </w:tcPr>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项目编号/项目名称</w:t>
            </w:r>
          </w:p>
        </w:tc>
        <w:tc>
          <w:tcPr>
            <w:tcW w:w="6655" w:type="dxa"/>
            <w:gridSpan w:val="3"/>
            <w:vAlign w:val="center"/>
          </w:tcPr>
          <w:p>
            <w:pPr>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项目编号：</w:t>
            </w:r>
            <w:r>
              <w:rPr>
                <w:rFonts w:hint="eastAsia" w:asciiTheme="minorEastAsia" w:hAnsiTheme="minorEastAsia" w:eastAsiaTheme="minorEastAsia" w:cstheme="minorEastAsia"/>
                <w:color w:val="auto"/>
                <w:sz w:val="32"/>
                <w:szCs w:val="32"/>
                <w:highlight w:val="none"/>
                <w:lang w:eastAsia="zh-CN"/>
              </w:rPr>
              <w:t>HRZ25C192</w:t>
            </w:r>
          </w:p>
          <w:p>
            <w:pPr>
              <w:rPr>
                <w:rFonts w:hint="default" w:asciiTheme="minorEastAsia" w:hAnsiTheme="minorEastAsia" w:eastAsiaTheme="minorEastAsia" w:cstheme="minorEastAsia"/>
                <w:b/>
                <w:bCs/>
                <w:color w:val="auto"/>
                <w:sz w:val="32"/>
                <w:highlight w:val="none"/>
                <w:u w:val="single"/>
                <w:lang w:val="en-US" w:eastAsia="zh-CN"/>
              </w:rPr>
            </w:pPr>
            <w:r>
              <w:rPr>
                <w:rFonts w:hint="eastAsia" w:asciiTheme="minorEastAsia" w:hAnsiTheme="minorEastAsia" w:eastAsiaTheme="minorEastAsia" w:cstheme="minorEastAsia"/>
                <w:color w:val="auto"/>
                <w:sz w:val="32"/>
                <w:szCs w:val="32"/>
                <w:highlight w:val="none"/>
              </w:rPr>
              <w:t>项目名称：</w:t>
            </w:r>
            <w:r>
              <w:rPr>
                <w:rFonts w:hint="eastAsia" w:asciiTheme="minorEastAsia" w:hAnsiTheme="minorEastAsia" w:eastAsiaTheme="minorEastAsia" w:cstheme="minorEastAsia"/>
                <w:color w:val="auto"/>
                <w:sz w:val="32"/>
                <w:szCs w:val="32"/>
                <w:highlight w:val="none"/>
                <w:lang w:eastAsia="zh-CN"/>
              </w:rPr>
              <w:t>重庆工会职工服务平台与“职工之家”APP融合互促—</w:t>
            </w:r>
            <w:r>
              <w:rPr>
                <w:rFonts w:hint="eastAsia" w:asciiTheme="minorEastAsia" w:hAnsiTheme="minorEastAsia" w:eastAsiaTheme="minorEastAsia" w:cstheme="minorEastAsia"/>
                <w:color w:val="auto"/>
                <w:sz w:val="32"/>
                <w:szCs w:val="32"/>
                <w:highlight w:val="none"/>
                <w:lang w:val="en-US" w:eastAsia="zh-CN"/>
              </w:rPr>
              <w:t>2025年度</w:t>
            </w:r>
            <w:r>
              <w:rPr>
                <w:rFonts w:hint="eastAsia" w:asciiTheme="minorEastAsia" w:hAnsiTheme="minorEastAsia" w:eastAsiaTheme="minorEastAsia" w:cstheme="minorEastAsia"/>
                <w:color w:val="auto"/>
                <w:sz w:val="32"/>
                <w:szCs w:val="32"/>
                <w:highlight w:val="none"/>
                <w:lang w:eastAsia="zh-CN"/>
              </w:rPr>
              <w:t>数据服务</w:t>
            </w:r>
            <w:r>
              <w:rPr>
                <w:rFonts w:hint="eastAsia" w:asciiTheme="minorEastAsia" w:hAnsiTheme="minorEastAsia" w:eastAsiaTheme="minorEastAsia" w:cstheme="minorEastAsia"/>
                <w:color w:val="auto"/>
                <w:sz w:val="32"/>
                <w:szCs w:val="32"/>
                <w:highlight w:val="none"/>
                <w:lang w:val="en-US" w:eastAsia="zh-CN"/>
              </w:rPr>
              <w:t>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862" w:hRule="atLeast"/>
          <w:jc w:val="center"/>
        </w:trPr>
        <w:tc>
          <w:tcPr>
            <w:tcW w:w="2275" w:type="dxa"/>
            <w:vAlign w:val="center"/>
          </w:tcPr>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供应商名称</w:t>
            </w:r>
          </w:p>
        </w:tc>
        <w:tc>
          <w:tcPr>
            <w:tcW w:w="6655" w:type="dxa"/>
            <w:gridSpan w:val="3"/>
            <w:vAlign w:val="bottom"/>
          </w:tcPr>
          <w:p>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75" w:type="dxa"/>
            <w:vAlign w:val="center"/>
          </w:tcPr>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联系人</w:t>
            </w:r>
          </w:p>
        </w:tc>
        <w:tc>
          <w:tcPr>
            <w:tcW w:w="2081" w:type="dxa"/>
            <w:vAlign w:val="center"/>
          </w:tcPr>
          <w:p>
            <w:pPr>
              <w:jc w:val="left"/>
              <w:rPr>
                <w:rFonts w:hint="eastAsia" w:asciiTheme="minorEastAsia" w:hAnsiTheme="minorEastAsia" w:eastAsiaTheme="minorEastAsia" w:cstheme="minorEastAsia"/>
                <w:color w:val="auto"/>
                <w:sz w:val="30"/>
                <w:szCs w:val="30"/>
                <w:highlight w:val="none"/>
              </w:rPr>
            </w:pPr>
          </w:p>
        </w:tc>
        <w:tc>
          <w:tcPr>
            <w:tcW w:w="958" w:type="dxa"/>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手机</w:t>
            </w:r>
          </w:p>
        </w:tc>
        <w:tc>
          <w:tcPr>
            <w:tcW w:w="3616" w:type="dxa"/>
            <w:vAlign w:val="center"/>
          </w:tcPr>
          <w:p>
            <w:pPr>
              <w:jc w:val="left"/>
              <w:rPr>
                <w:rFonts w:hint="eastAsia" w:asciiTheme="minorEastAsia" w:hAnsiTheme="minorEastAsia" w:eastAsiaTheme="minorEastAsia" w:cstheme="minorEastAsia"/>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66" w:hRule="atLeast"/>
          <w:jc w:val="center"/>
        </w:trPr>
        <w:tc>
          <w:tcPr>
            <w:tcW w:w="2275" w:type="dxa"/>
            <w:vAlign w:val="center"/>
          </w:tcPr>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办公电话</w:t>
            </w:r>
          </w:p>
        </w:tc>
        <w:tc>
          <w:tcPr>
            <w:tcW w:w="2081" w:type="dxa"/>
            <w:vAlign w:val="center"/>
          </w:tcPr>
          <w:p>
            <w:pPr>
              <w:jc w:val="left"/>
              <w:rPr>
                <w:rFonts w:hint="eastAsia" w:asciiTheme="minorEastAsia" w:hAnsiTheme="minorEastAsia" w:eastAsiaTheme="minorEastAsia" w:cstheme="minorEastAsia"/>
                <w:color w:val="auto"/>
                <w:sz w:val="30"/>
                <w:szCs w:val="30"/>
                <w:highlight w:val="none"/>
              </w:rPr>
            </w:pPr>
          </w:p>
        </w:tc>
        <w:tc>
          <w:tcPr>
            <w:tcW w:w="958" w:type="dxa"/>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传真</w:t>
            </w:r>
          </w:p>
        </w:tc>
        <w:tc>
          <w:tcPr>
            <w:tcW w:w="3616" w:type="dxa"/>
            <w:vAlign w:val="center"/>
          </w:tcPr>
          <w:p>
            <w:pPr>
              <w:jc w:val="left"/>
              <w:rPr>
                <w:rFonts w:hint="eastAsia" w:asciiTheme="minorEastAsia" w:hAnsiTheme="minorEastAsia" w:eastAsiaTheme="minorEastAsia" w:cstheme="minorEastAsia"/>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75" w:type="dxa"/>
            <w:vAlign w:val="center"/>
          </w:tcPr>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E-mail</w:t>
            </w:r>
          </w:p>
        </w:tc>
        <w:tc>
          <w:tcPr>
            <w:tcW w:w="6655" w:type="dxa"/>
            <w:gridSpan w:val="3"/>
            <w:vAlign w:val="center"/>
          </w:tcPr>
          <w:p>
            <w:pPr>
              <w:jc w:val="left"/>
              <w:rPr>
                <w:rFonts w:hint="eastAsia" w:asciiTheme="minorEastAsia" w:hAnsiTheme="minorEastAsia" w:eastAsiaTheme="minorEastAsia" w:cstheme="minorEastAsia"/>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961" w:hRule="atLeast"/>
          <w:jc w:val="center"/>
        </w:trPr>
        <w:tc>
          <w:tcPr>
            <w:tcW w:w="2275" w:type="dxa"/>
            <w:vAlign w:val="center"/>
          </w:tcPr>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单位地址</w:t>
            </w:r>
          </w:p>
        </w:tc>
        <w:tc>
          <w:tcPr>
            <w:tcW w:w="6655" w:type="dxa"/>
            <w:gridSpan w:val="3"/>
            <w:vAlign w:val="center"/>
          </w:tcPr>
          <w:p>
            <w:pPr>
              <w:jc w:val="left"/>
              <w:rPr>
                <w:rFonts w:hint="eastAsia" w:asciiTheme="minorEastAsia" w:hAnsiTheme="minorEastAsia" w:eastAsiaTheme="minorEastAsia" w:cstheme="minorEastAsia"/>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930" w:type="dxa"/>
            <w:gridSpan w:val="4"/>
            <w:vAlign w:val="center"/>
          </w:tcPr>
          <w:p>
            <w:pPr>
              <w:jc w:val="left"/>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购本项目标书</w:t>
            </w:r>
            <w:r>
              <w:rPr>
                <w:rFonts w:hint="eastAsia" w:asciiTheme="minorEastAsia" w:hAnsiTheme="minorEastAsia" w:eastAsiaTheme="minorEastAsia" w:cstheme="minorEastAsia"/>
                <w:b/>
                <w:bCs/>
                <w:color w:val="auto"/>
                <w:sz w:val="30"/>
                <w:szCs w:val="30"/>
                <w:highlight w:val="none"/>
                <w:u w:val="single"/>
              </w:rPr>
              <w:t xml:space="preserve"> 1  </w:t>
            </w:r>
            <w:r>
              <w:rPr>
                <w:rFonts w:hint="eastAsia" w:asciiTheme="minorEastAsia" w:hAnsiTheme="minorEastAsia" w:eastAsiaTheme="minorEastAsia" w:cstheme="minorEastAsia"/>
                <w:b/>
                <w:bCs/>
                <w:color w:val="auto"/>
                <w:sz w:val="30"/>
                <w:szCs w:val="30"/>
                <w:highlight w:val="none"/>
              </w:rPr>
              <w:t>份，共计</w:t>
            </w:r>
            <w:r>
              <w:rPr>
                <w:rFonts w:hint="eastAsia" w:asciiTheme="minorEastAsia" w:hAnsiTheme="minorEastAsia" w:eastAsiaTheme="minorEastAsia" w:cstheme="minorEastAsia"/>
                <w:b/>
                <w:bCs/>
                <w:color w:val="auto"/>
                <w:sz w:val="30"/>
                <w:szCs w:val="30"/>
                <w:highlight w:val="none"/>
                <w:u w:val="single"/>
              </w:rPr>
              <w:t xml:space="preserve">  300   </w:t>
            </w:r>
            <w:r>
              <w:rPr>
                <w:rFonts w:hint="eastAsia" w:asciiTheme="minorEastAsia" w:hAnsiTheme="minorEastAsia" w:eastAsiaTheme="minorEastAsia" w:cstheme="minorEastAsia"/>
                <w:b/>
                <w:bCs/>
                <w:color w:val="auto"/>
                <w:sz w:val="30"/>
                <w:szCs w:val="30"/>
                <w:highlight w:val="none"/>
              </w:rPr>
              <w:t>元。</w:t>
            </w:r>
          </w:p>
          <w:p>
            <w:pPr>
              <w:jc w:val="left"/>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b/>
                <w:bCs/>
                <w:color w:val="auto"/>
                <w:sz w:val="30"/>
                <w:szCs w:val="30"/>
                <w:highlight w:val="none"/>
              </w:rPr>
              <w:t>如不是用公司账户转账的需备注个人账户名称：</w:t>
            </w:r>
            <w:r>
              <w:rPr>
                <w:rFonts w:hint="eastAsia" w:asciiTheme="minorEastAsia" w:hAnsiTheme="minorEastAsia" w:eastAsiaTheme="minorEastAsia" w:cstheme="minorEastAsia"/>
                <w:b/>
                <w:bCs/>
                <w:color w:val="auto"/>
                <w:sz w:val="30"/>
                <w:szCs w:val="30"/>
                <w:highlight w:val="none"/>
                <w:u w:val="single"/>
              </w:rPr>
              <w:t xml:space="preserve">            </w:t>
            </w:r>
          </w:p>
        </w:tc>
      </w:tr>
    </w:tbl>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1.报名和</w:t>
      </w:r>
      <w:r>
        <w:rPr>
          <w:rFonts w:hint="eastAsia" w:asciiTheme="minorEastAsia" w:hAnsiTheme="minorEastAsia" w:eastAsiaTheme="minorEastAsia" w:cstheme="minorEastAsia"/>
          <w:color w:val="auto"/>
          <w:sz w:val="24"/>
          <w:highlight w:val="none"/>
          <w:lang w:val="en-US" w:eastAsia="zh-CN"/>
        </w:rPr>
        <w:t>磋商文件</w:t>
      </w:r>
      <w:r>
        <w:rPr>
          <w:rFonts w:hint="eastAsia" w:asciiTheme="minorEastAsia" w:hAnsiTheme="minorEastAsia" w:eastAsiaTheme="minorEastAsia" w:cstheme="minorEastAsia"/>
          <w:color w:val="auto"/>
          <w:sz w:val="24"/>
          <w:highlight w:val="none"/>
        </w:rPr>
        <w:t>发售期：202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11</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lang w:val="en-US" w:eastAsia="zh-CN"/>
        </w:rPr>
        <w:t>11</w:t>
      </w:r>
      <w:r>
        <w:rPr>
          <w:rFonts w:hint="eastAsia" w:asciiTheme="minorEastAsia" w:hAnsiTheme="minorEastAsia" w:eastAsiaTheme="minorEastAsia" w:cstheme="minorEastAsia"/>
          <w:color w:val="auto"/>
          <w:sz w:val="24"/>
          <w:highlight w:val="none"/>
        </w:rPr>
        <w:t>日-202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11</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lang w:val="en-US" w:eastAsia="zh-CN"/>
        </w:rPr>
        <w:t>18</w:t>
      </w:r>
      <w:r>
        <w:rPr>
          <w:rFonts w:hint="eastAsia" w:asciiTheme="minorEastAsia" w:hAnsiTheme="minorEastAsia" w:eastAsiaTheme="minorEastAsia" w:cstheme="minorEastAsia"/>
          <w:color w:val="auto"/>
          <w:sz w:val="24"/>
          <w:highlight w:val="none"/>
        </w:rPr>
        <w:t>日17:00（工作时间）</w:t>
      </w:r>
    </w:p>
    <w:p>
      <w:pPr>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single"/>
          <w:lang w:val="en-US" w:eastAsia="zh-CN"/>
        </w:rPr>
        <w:t>蒋</w:t>
      </w:r>
      <w:r>
        <w:rPr>
          <w:rFonts w:hint="eastAsia" w:asciiTheme="minorEastAsia" w:hAnsiTheme="minorEastAsia" w:eastAsiaTheme="minorEastAsia" w:cstheme="minorEastAsia"/>
          <w:color w:val="auto"/>
          <w:sz w:val="24"/>
          <w:highlight w:val="none"/>
          <w:u w:val="single"/>
        </w:rPr>
        <w:t>老师</w:t>
      </w:r>
      <w:r>
        <w:rPr>
          <w:rFonts w:hint="eastAsia" w:asciiTheme="minorEastAsia" w:hAnsiTheme="minorEastAsia" w:eastAsiaTheme="minorEastAsia" w:cstheme="minorEastAsia"/>
          <w:color w:val="auto"/>
          <w:sz w:val="24"/>
          <w:highlight w:val="none"/>
        </w:rPr>
        <w:t xml:space="preserve">  电话：19122472100 邮箱：8501629@qq.com</w:t>
      </w:r>
    </w:p>
    <w:p>
      <w:pPr>
        <w:snapToGrid w:val="0"/>
        <w:spacing w:line="420" w:lineRule="exact"/>
        <w:ind w:firstLine="481"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2.若需开发票请将开票信息发送至邮箱852786624@qq.com</w:t>
      </w:r>
    </w:p>
    <w:p>
      <w:pPr>
        <w:rPr>
          <w:rFonts w:hint="eastAsia" w:asciiTheme="minorEastAsia" w:hAnsiTheme="minorEastAsia" w:eastAsiaTheme="minorEastAsia" w:cstheme="minorEastAsia"/>
          <w:b/>
          <w:color w:val="auto"/>
          <w:sz w:val="24"/>
          <w:szCs w:val="24"/>
          <w:highlight w:val="none"/>
        </w:rPr>
      </w:pPr>
    </w:p>
    <w:p>
      <w:pPr>
        <w:pStyle w:val="4"/>
        <w:rPr>
          <w:rFonts w:hint="eastAsia" w:asciiTheme="minorEastAsia" w:hAnsiTheme="minorEastAsia" w:eastAsiaTheme="minorEastAsia" w:cstheme="minorEastAsia"/>
          <w:b w:val="0"/>
          <w:color w:val="auto"/>
          <w:sz w:val="24"/>
          <w:szCs w:val="24"/>
          <w:highlight w:val="none"/>
        </w:rPr>
      </w:pPr>
    </w:p>
    <w:p>
      <w:pPr>
        <w:rPr>
          <w:rFonts w:hint="eastAsia" w:asciiTheme="minorEastAsia" w:hAnsiTheme="minorEastAsia" w:eastAsiaTheme="minorEastAsia" w:cstheme="minorEastAsia"/>
          <w:b/>
          <w:color w:val="auto"/>
          <w:sz w:val="24"/>
          <w:szCs w:val="24"/>
          <w:highlight w:val="none"/>
        </w:rPr>
      </w:pPr>
    </w:p>
    <w:p>
      <w:pPr>
        <w:pStyle w:val="4"/>
        <w:rPr>
          <w:rFonts w:hint="eastAsia" w:asciiTheme="minorEastAsia" w:hAnsiTheme="minorEastAsia" w:eastAsiaTheme="minorEastAsia" w:cstheme="minorEastAsia"/>
          <w:b w:val="0"/>
          <w:color w:val="auto"/>
          <w:sz w:val="24"/>
          <w:szCs w:val="24"/>
          <w:highlight w:val="none"/>
        </w:rPr>
      </w:pPr>
    </w:p>
    <w:p>
      <w:pPr>
        <w:rPr>
          <w:rFonts w:hint="eastAsia" w:asciiTheme="minorEastAsia" w:hAnsiTheme="minorEastAsia" w:eastAsiaTheme="minorEastAsia" w:cstheme="minorEastAsia"/>
          <w:color w:val="auto"/>
          <w:highlight w:val="none"/>
        </w:rPr>
        <w:sectPr>
          <w:pgSz w:w="11907" w:h="16840"/>
          <w:pgMar w:top="1134" w:right="1418" w:bottom="1134" w:left="1418" w:header="964" w:footer="992" w:gutter="0"/>
          <w:pgNumType w:fmt="numberInDash"/>
          <w:cols w:space="720" w:num="1"/>
          <w:docGrid w:linePitch="312" w:charSpace="0"/>
        </w:sectPr>
      </w:pPr>
    </w:p>
    <w:p>
      <w:pPr>
        <w:pStyle w:val="3"/>
        <w:spacing w:before="0" w:after="0" w:line="360" w:lineRule="auto"/>
        <w:jc w:val="center"/>
        <w:rPr>
          <w:rFonts w:hint="eastAsia" w:asciiTheme="minorEastAsia" w:hAnsiTheme="minorEastAsia" w:eastAsiaTheme="minorEastAsia" w:cstheme="minorEastAsia"/>
          <w:b/>
          <w:bCs/>
          <w:color w:val="auto"/>
          <w:sz w:val="30"/>
          <w:szCs w:val="30"/>
          <w:highlight w:val="none"/>
        </w:rPr>
      </w:pPr>
      <w:bookmarkStart w:id="48" w:name="_Toc3523"/>
      <w:bookmarkEnd w:id="48"/>
      <w:bookmarkStart w:id="49" w:name="_Toc106030878"/>
      <w:bookmarkEnd w:id="49"/>
      <w:bookmarkStart w:id="50" w:name="_Toc76462324"/>
      <w:bookmarkEnd w:id="50"/>
      <w:bookmarkStart w:id="51" w:name="_Toc30251"/>
      <w:r>
        <w:rPr>
          <w:rFonts w:hint="eastAsia" w:asciiTheme="minorEastAsia" w:hAnsiTheme="minorEastAsia" w:eastAsiaTheme="minorEastAsia" w:cstheme="minorEastAsia"/>
          <w:b/>
          <w:bCs/>
          <w:color w:val="auto"/>
          <w:sz w:val="36"/>
          <w:szCs w:val="30"/>
          <w:highlight w:val="none"/>
        </w:rPr>
        <w:t>第二篇  项目服务需求</w:t>
      </w:r>
      <w:bookmarkEnd w:id="51"/>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lang w:eastAsia="zh-CN"/>
        </w:rPr>
      </w:pPr>
      <w:bookmarkStart w:id="52" w:name="_Toc76462325"/>
      <w:bookmarkEnd w:id="52"/>
      <w:bookmarkStart w:id="53" w:name="_Toc14460"/>
      <w:bookmarkEnd w:id="53"/>
      <w:bookmarkStart w:id="54" w:name="_Toc106030879"/>
      <w:bookmarkEnd w:id="54"/>
      <w:bookmarkStart w:id="55" w:name="_Toc2431"/>
      <w:bookmarkStart w:id="56" w:name="_Toc12789058"/>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en-US" w:eastAsia="zh-CN"/>
        </w:rPr>
        <w:t>概况</w:t>
      </w:r>
      <w:bookmarkEnd w:id="55"/>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深入贯彻落实中华全国总工会关于推进工会工作数字化、智能化建设的战略部署，充分发挥“职工之家”APP平台优势与重庆工会“渝工娘家人”本地化服务特色，实现资源整合、能力互补、服务升级，同时打通全总与市</w:t>
      </w:r>
      <w:bookmarkStart w:id="199" w:name="_GoBack"/>
      <w:bookmarkEnd w:id="199"/>
      <w:r>
        <w:rPr>
          <w:rFonts w:hint="eastAsia" w:asciiTheme="minorEastAsia" w:hAnsiTheme="minorEastAsia" w:eastAsiaTheme="minorEastAsia" w:cstheme="minorEastAsia"/>
          <w:color w:val="auto"/>
          <w:sz w:val="24"/>
          <w:szCs w:val="24"/>
          <w:highlight w:val="none"/>
        </w:rPr>
        <w:t>总、数字重庆工会数据的壁垒，促进数据资源共享与业务协同，提升工会数据服务能力与业务支撑水平。</w:t>
      </w:r>
    </w:p>
    <w:p>
      <w:pPr>
        <w:pStyle w:val="3"/>
        <w:adjustRightInd w:val="0"/>
        <w:snapToGrid w:val="0"/>
        <w:spacing w:before="0" w:after="0" w:line="400" w:lineRule="exact"/>
        <w:ind w:firstLine="481" w:firstLineChars="200"/>
        <w:rPr>
          <w:rFonts w:hint="default" w:asciiTheme="minorEastAsia" w:hAnsiTheme="minorEastAsia" w:eastAsiaTheme="minorEastAsia" w:cstheme="minorEastAsia"/>
          <w:color w:val="auto"/>
          <w:sz w:val="24"/>
          <w:highlight w:val="none"/>
          <w:lang w:val="en-US" w:eastAsia="zh-CN"/>
        </w:rPr>
      </w:pPr>
      <w:bookmarkStart w:id="57" w:name="_Toc23946"/>
      <w:r>
        <w:rPr>
          <w:rFonts w:hint="eastAsia" w:asciiTheme="minorEastAsia" w:hAnsiTheme="minorEastAsia" w:eastAsiaTheme="minorEastAsia" w:cstheme="minorEastAsia"/>
          <w:color w:val="auto"/>
          <w:sz w:val="24"/>
          <w:highlight w:val="none"/>
        </w:rPr>
        <w:t>二、</w:t>
      </w:r>
      <w:r>
        <w:rPr>
          <w:rFonts w:hint="eastAsia" w:asciiTheme="minorEastAsia" w:hAnsiTheme="minorEastAsia" w:eastAsiaTheme="minorEastAsia" w:cstheme="minorEastAsia"/>
          <w:color w:val="auto"/>
          <w:sz w:val="24"/>
          <w:highlight w:val="none"/>
          <w:lang w:val="en-US" w:eastAsia="zh-CN"/>
        </w:rPr>
        <w:t>服务内容及要求</w:t>
      </w:r>
      <w:bookmarkEnd w:id="57"/>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（一）总体要求</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在数字重庆建设持续推进以及全总职工之家建设全面开展的背景下，市总工会要求能够提供具备规划性、可实施性的数据支撑服务。</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（二）实施时间：2025年1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月-12月</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（三）服务内容</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要求供应商围绕市总工会求学圆梦行动、劳动争议调解场景重点业务场景，输出图文并茂数据分析报告，同时部分场景报告中需含有建设性业务场景建议。需提供报告方案示例，包含统计图表、报告建议等内容。</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2.要求供应商围绕重庆市总工会的融合互促建设工作提供数字重庆建设背景下的数据服务内容，包括重要数据全生命周期管理服务等内容，具体包含以下内容：</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（1）完成工会公共数据重点数据目录编制。完成包括渝工娘家人、渝工创新、WillGo等市总工会内部业务系统及手工数据的数据资源盘点、元数据采集与梳理、数据分级分类、目录编制及动态维护等工作，需完成 18 个部门 </w:t>
      </w:r>
      <w:r>
        <w:rPr>
          <w:rFonts w:hint="eastAsia" w:asciiTheme="minorEastAsia" w:hAnsiTheme="minorEastAsia" w:eastAsiaTheme="minorEastAsia" w:cstheme="minorEastAsia"/>
          <w:color w:val="auto"/>
          <w:sz w:val="24"/>
          <w:szCs w:val="24"/>
          <w:highlight w:val="none"/>
          <w:lang w:val="en-US" w:eastAsia="zh-CN"/>
        </w:rPr>
        <w:t>200</w:t>
      </w:r>
      <w:r>
        <w:rPr>
          <w:rFonts w:hint="eastAsia" w:asciiTheme="minorEastAsia" w:hAnsiTheme="minorEastAsia" w:eastAsiaTheme="minorEastAsia" w:cstheme="minorEastAsia"/>
          <w:color w:val="auto"/>
          <w:sz w:val="24"/>
          <w:szCs w:val="24"/>
          <w:highlight w:val="none"/>
        </w:rPr>
        <w:t>+ 类数据资源目录的编制与更新，为业务处室提供答疑、培训及指导。</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（2）结合数字重庆规则完成IRS的数据归集服务。明确市总工会数据资源归集的范围、内容和方式，负责市总工会多源数据的汇聚、加工处理，并推送至达梦前置库，确保数据归集流程完整、高效，总计需处理 </w:t>
      </w:r>
      <w:r>
        <w:rPr>
          <w:rFonts w:hint="eastAsia" w:asciiTheme="minorEastAsia" w:hAnsiTheme="minorEastAsia" w:eastAsiaTheme="minorEastAsia" w:cstheme="minorEastAsia"/>
          <w:color w:val="auto"/>
          <w:sz w:val="24"/>
          <w:szCs w:val="24"/>
          <w:highlight w:val="none"/>
          <w:lang w:val="en-US" w:eastAsia="zh-CN"/>
        </w:rPr>
        <w:t>200</w:t>
      </w:r>
      <w:r>
        <w:rPr>
          <w:rFonts w:hint="eastAsia" w:asciiTheme="minorEastAsia" w:hAnsiTheme="minorEastAsia" w:eastAsiaTheme="minorEastAsia" w:cstheme="minorEastAsia"/>
          <w:color w:val="auto"/>
          <w:sz w:val="24"/>
          <w:szCs w:val="24"/>
          <w:highlight w:val="none"/>
        </w:rPr>
        <w:t>+ 张数据表。</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（3）根据市级、区县、镇街数据回流合规处理流程，按全总、市总需求对</w:t>
      </w:r>
      <w:r>
        <w:rPr>
          <w:rFonts w:hint="eastAsia" w:asciiTheme="minorEastAsia" w:hAnsiTheme="minorEastAsia" w:eastAsiaTheme="minorEastAsia" w:cstheme="minorEastAsia"/>
          <w:color w:val="auto"/>
          <w:sz w:val="24"/>
          <w:szCs w:val="24"/>
          <w:highlight w:val="none"/>
          <w:lang w:val="en-US" w:eastAsia="zh-CN"/>
        </w:rPr>
        <w:t>200</w:t>
      </w:r>
      <w:r>
        <w:rPr>
          <w:rFonts w:hint="eastAsia" w:asciiTheme="minorEastAsia" w:hAnsiTheme="minorEastAsia" w:eastAsiaTheme="minorEastAsia" w:cstheme="minorEastAsia"/>
          <w:color w:val="auto"/>
          <w:sz w:val="24"/>
          <w:szCs w:val="24"/>
          <w:highlight w:val="none"/>
        </w:rPr>
        <w:t>+类数据进行梳理并按需回流。</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（4）完成重点业务数据数据治理工作。对前期</w:t>
      </w:r>
      <w:r>
        <w:rPr>
          <w:rFonts w:hint="eastAsia" w:asciiTheme="minorEastAsia" w:hAnsiTheme="minorEastAsia" w:eastAsiaTheme="minorEastAsia" w:cstheme="minorEastAsia"/>
          <w:color w:val="auto"/>
          <w:sz w:val="24"/>
          <w:szCs w:val="24"/>
          <w:highlight w:val="none"/>
          <w:lang w:val="en-US" w:eastAsia="zh-CN"/>
        </w:rPr>
        <w:t>200</w:t>
      </w:r>
      <w:r>
        <w:rPr>
          <w:rFonts w:hint="eastAsia" w:asciiTheme="minorEastAsia" w:hAnsiTheme="minorEastAsia" w:eastAsiaTheme="minorEastAsia" w:cstheme="minorEastAsia"/>
          <w:color w:val="auto"/>
          <w:sz w:val="24"/>
          <w:szCs w:val="24"/>
          <w:highlight w:val="none"/>
        </w:rPr>
        <w:t>+ 类数据资源进行完整性、准确性、一致性、唯一性、规范性、及时性等方面的评估与清洗，需要与数字重庆的要求一致，并针对性完成数据质量问题，完成治理问题整改与质量检查。</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（5）提供跨部门的数据共享任务。包含对接宣传部、统战部、教委、人大、政协等部门的数据需求进行对接共享，处理 </w:t>
      </w:r>
      <w:r>
        <w:rPr>
          <w:rFonts w:hint="eastAsia" w:asciiTheme="minorEastAsia" w:hAnsiTheme="minorEastAsia" w:eastAsiaTheme="minorEastAsia" w:cstheme="minorEastAsia"/>
          <w:color w:val="auto"/>
          <w:sz w:val="24"/>
          <w:szCs w:val="24"/>
          <w:highlight w:val="none"/>
          <w:lang w:val="en-US" w:eastAsia="zh-CN"/>
        </w:rPr>
        <w:t>200</w:t>
      </w:r>
      <w:r>
        <w:rPr>
          <w:rFonts w:hint="eastAsia" w:asciiTheme="minorEastAsia" w:hAnsiTheme="minorEastAsia" w:eastAsiaTheme="minorEastAsia" w:cstheme="minorEastAsia"/>
          <w:color w:val="auto"/>
          <w:sz w:val="24"/>
          <w:szCs w:val="24"/>
          <w:highlight w:val="none"/>
        </w:rPr>
        <w:t>+ 类数据资源，提供共享要求相关数据服务，提供数据共享及指导方案。</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数据运维管理服务。基于以上数据按要求对数据采集、处理、加载、共享等全链路任务流进行统一调度、实时监控与智能预警，及时发现并处理数据异常，确保数据服务的稳定性、安全性与高效性，提供常态化运维支持。</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pPr>
        <w:spacing w:line="400" w:lineRule="exact"/>
        <w:ind w:firstLine="480" w:firstLineChars="200"/>
        <w:rPr>
          <w:rFonts w:hint="eastAsia" w:asciiTheme="minorEastAsia" w:hAnsiTheme="minorEastAsia" w:eastAsiaTheme="minorEastAsia" w:cstheme="minorEastAsia"/>
          <w:color w:val="auto"/>
          <w:sz w:val="24"/>
          <w:szCs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bookmarkEnd w:id="56"/>
    <w:p>
      <w:pPr>
        <w:pStyle w:val="3"/>
        <w:spacing w:before="0" w:after="0" w:line="360" w:lineRule="auto"/>
        <w:jc w:val="center"/>
        <w:rPr>
          <w:rFonts w:hint="eastAsia" w:asciiTheme="minorEastAsia" w:hAnsiTheme="minorEastAsia" w:eastAsiaTheme="minorEastAsia" w:cstheme="minorEastAsia"/>
          <w:b/>
          <w:bCs/>
          <w:color w:val="auto"/>
          <w:sz w:val="36"/>
          <w:szCs w:val="30"/>
          <w:highlight w:val="none"/>
        </w:rPr>
      </w:pPr>
      <w:bookmarkStart w:id="58" w:name="_Toc106030882"/>
      <w:bookmarkEnd w:id="58"/>
      <w:bookmarkStart w:id="59" w:name="_Toc76462327"/>
      <w:bookmarkEnd w:id="59"/>
      <w:bookmarkStart w:id="60" w:name="_Toc21242"/>
      <w:bookmarkEnd w:id="60"/>
      <w:bookmarkStart w:id="61" w:name="_Toc9605"/>
      <w:r>
        <w:rPr>
          <w:rFonts w:hint="eastAsia" w:asciiTheme="minorEastAsia" w:hAnsiTheme="minorEastAsia" w:eastAsiaTheme="minorEastAsia" w:cstheme="minorEastAsia"/>
          <w:b/>
          <w:bCs/>
          <w:color w:val="auto"/>
          <w:sz w:val="36"/>
          <w:szCs w:val="30"/>
          <w:highlight w:val="none"/>
        </w:rPr>
        <w:t>第三篇  项目商务需求</w:t>
      </w:r>
      <w:bookmarkEnd w:id="61"/>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62" w:name="_Toc106030883"/>
      <w:bookmarkEnd w:id="62"/>
      <w:bookmarkStart w:id="63" w:name="_Toc76462328"/>
      <w:bookmarkEnd w:id="63"/>
      <w:bookmarkStart w:id="64" w:name="_Toc344475120"/>
      <w:bookmarkEnd w:id="64"/>
      <w:bookmarkStart w:id="65" w:name="_Toc28019"/>
      <w:bookmarkEnd w:id="65"/>
      <w:bookmarkStart w:id="66" w:name="_Toc30377"/>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实施时间</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地点、交付时间</w:t>
      </w:r>
      <w:r>
        <w:rPr>
          <w:rFonts w:hint="eastAsia" w:asciiTheme="minorEastAsia" w:hAnsiTheme="minorEastAsia" w:eastAsiaTheme="minorEastAsia" w:cstheme="minorEastAsia"/>
          <w:color w:val="auto"/>
          <w:sz w:val="24"/>
          <w:highlight w:val="none"/>
        </w:rPr>
        <w:t>及验收方式</w:t>
      </w:r>
      <w:bookmarkEnd w:id="66"/>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（一）实施时间：采购合同签订之日起至2025年12月内完成</w:t>
      </w:r>
      <w:r>
        <w:rPr>
          <w:rFonts w:hint="eastAsia" w:asciiTheme="minorEastAsia" w:hAnsiTheme="minorEastAsia" w:eastAsiaTheme="minorEastAsia" w:cstheme="minorEastAsia"/>
          <w:color w:val="auto"/>
          <w:sz w:val="24"/>
          <w:szCs w:val="24"/>
          <w:highlight w:val="none"/>
          <w:lang w:val="en-US" w:eastAsia="zh-CN"/>
        </w:rPr>
        <w:t>全部服务内容</w:t>
      </w:r>
      <w:r>
        <w:rPr>
          <w:rFonts w:hint="eastAsia" w:asciiTheme="minorEastAsia" w:hAnsiTheme="minorEastAsia" w:eastAsiaTheme="minorEastAsia" w:cstheme="minorEastAsia"/>
          <w:color w:val="auto"/>
          <w:sz w:val="24"/>
          <w:szCs w:val="24"/>
          <w:highlight w:val="none"/>
        </w:rPr>
        <w:t>并</w:t>
      </w:r>
      <w:r>
        <w:rPr>
          <w:rFonts w:hint="eastAsia" w:asciiTheme="minorEastAsia" w:hAnsiTheme="minorEastAsia" w:eastAsiaTheme="minorEastAsia" w:cstheme="minorEastAsia"/>
          <w:color w:val="auto"/>
          <w:sz w:val="24"/>
          <w:szCs w:val="24"/>
          <w:highlight w:val="none"/>
          <w:lang w:val="en-US" w:eastAsia="zh-CN"/>
        </w:rPr>
        <w:t>通过采购人验收</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（二）实施地点：采购人指定地点。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供应商完成相关项目实施并提交验收申请后，由采购人5个工作日内组织验收，对报告内容、数据服务、实施时间是否符合磋商文件要求逐项进行验收。供应商提供的服务内容须满足磋商文件要求。如果发现与采购要求不符或与成交供应商响应文件不符等问题，成交供应商应当按要求采取补救处理措施，否则由成交供应商赔偿给采购人造成的损失且将扣除不符要求内容的相应款项。</w:t>
      </w: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67" w:name="_Toc17708"/>
      <w:bookmarkEnd w:id="67"/>
      <w:bookmarkStart w:id="68" w:name="_Toc106030884"/>
      <w:bookmarkEnd w:id="68"/>
      <w:bookmarkStart w:id="69" w:name="_Toc76462329"/>
      <w:bookmarkEnd w:id="69"/>
      <w:bookmarkStart w:id="70" w:name="_Toc344475121"/>
      <w:bookmarkEnd w:id="70"/>
      <w:bookmarkStart w:id="71" w:name="_Toc26547"/>
      <w:r>
        <w:rPr>
          <w:rFonts w:hint="eastAsia" w:asciiTheme="minorEastAsia" w:hAnsiTheme="minorEastAsia" w:eastAsiaTheme="minorEastAsia" w:cstheme="minorEastAsia"/>
          <w:color w:val="auto"/>
          <w:sz w:val="24"/>
          <w:highlight w:val="none"/>
        </w:rPr>
        <w:t>二、报价要求</w:t>
      </w:r>
      <w:bookmarkEnd w:id="71"/>
    </w:p>
    <w:p>
      <w:pPr>
        <w:snapToGrid w:val="0"/>
        <w:spacing w:line="400" w:lineRule="exact"/>
        <w:ind w:firstLine="5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磋商报价包括完成本项目所需的服务费、人工费及提供服务所需的设备或货物购买（制造）费、</w:t>
      </w:r>
      <w:r>
        <w:rPr>
          <w:rFonts w:hint="eastAsia" w:asciiTheme="minorEastAsia" w:hAnsiTheme="minorEastAsia" w:eastAsiaTheme="minorEastAsia" w:cstheme="minorEastAsia"/>
          <w:color w:val="auto"/>
          <w:sz w:val="24"/>
          <w:szCs w:val="24"/>
          <w:highlight w:val="none"/>
          <w:lang w:val="en-US" w:eastAsia="zh-CN"/>
        </w:rPr>
        <w:t>差旅费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通讯费</w:t>
      </w:r>
      <w:r>
        <w:rPr>
          <w:rFonts w:hint="eastAsia" w:asciiTheme="minorEastAsia" w:hAnsiTheme="minorEastAsia" w:eastAsiaTheme="minorEastAsia" w:cstheme="minorEastAsia"/>
          <w:color w:val="auto"/>
          <w:sz w:val="24"/>
          <w:szCs w:val="24"/>
          <w:highlight w:val="none"/>
        </w:rPr>
        <w:t>、培训</w:t>
      </w:r>
      <w:r>
        <w:rPr>
          <w:rFonts w:hint="eastAsia" w:asciiTheme="minorEastAsia" w:hAnsiTheme="minorEastAsia" w:eastAsiaTheme="minorEastAsia" w:cstheme="minorEastAsia"/>
          <w:color w:val="auto"/>
          <w:sz w:val="24"/>
          <w:szCs w:val="24"/>
          <w:highlight w:val="none"/>
          <w:lang w:val="en-US" w:eastAsia="zh-CN"/>
        </w:rPr>
        <w:t>费</w:t>
      </w:r>
      <w:r>
        <w:rPr>
          <w:rFonts w:hint="eastAsia" w:asciiTheme="minorEastAsia" w:hAnsiTheme="minorEastAsia" w:eastAsiaTheme="minorEastAsia" w:cstheme="minorEastAsia"/>
          <w:color w:val="auto"/>
          <w:sz w:val="24"/>
          <w:szCs w:val="24"/>
          <w:highlight w:val="none"/>
        </w:rPr>
        <w:t>及各种应纳的税费等。因成交供应商自身原因造成漏报、少报皆由其自行承担责任，采购人不再补偿。</w:t>
      </w: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72" w:name="_Toc344475122"/>
      <w:bookmarkEnd w:id="72"/>
      <w:bookmarkStart w:id="73" w:name="_Toc76462330"/>
      <w:bookmarkEnd w:id="73"/>
      <w:bookmarkStart w:id="74" w:name="_Toc11329"/>
      <w:bookmarkEnd w:id="74"/>
      <w:bookmarkStart w:id="75" w:name="_Toc106030885"/>
      <w:bookmarkEnd w:id="75"/>
      <w:bookmarkStart w:id="76" w:name="_Toc2090"/>
      <w:r>
        <w:rPr>
          <w:rFonts w:hint="eastAsia" w:asciiTheme="minorEastAsia" w:hAnsiTheme="minorEastAsia" w:eastAsiaTheme="minorEastAsia" w:cstheme="minorEastAsia"/>
          <w:color w:val="auto"/>
          <w:sz w:val="24"/>
          <w:highlight w:val="none"/>
        </w:rPr>
        <w:t>三、付款方式</w:t>
      </w:r>
      <w:bookmarkEnd w:id="76"/>
    </w:p>
    <w:p>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合同签订之后成交供应商向采购人出具合法合规的发票，经采购人确认无误，15个工作日内采购人以转账方式向成交供应商支付合同金额50%的款项。</w:t>
      </w:r>
    </w:p>
    <w:p>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项目全部完成并通过采购人验收后，成交供应商向采购人出具合法合规的发票及相关验收文档，经采购人确认无误，15个工作日内采购人以转账方式向成交供应商支付合同金额50%的款项。</w:t>
      </w:r>
    </w:p>
    <w:p>
      <w:pPr>
        <w:pStyle w:val="3"/>
        <w:adjustRightInd w:val="0"/>
        <w:snapToGrid w:val="0"/>
        <w:spacing w:before="0" w:after="0" w:line="400" w:lineRule="exact"/>
        <w:ind w:firstLine="481" w:firstLineChars="200"/>
        <w:rPr>
          <w:rFonts w:hint="default" w:asciiTheme="minorEastAsia" w:hAnsiTheme="minorEastAsia" w:eastAsiaTheme="minorEastAsia" w:cstheme="minorEastAsia"/>
          <w:color w:val="auto"/>
          <w:sz w:val="24"/>
          <w:highlight w:val="none"/>
          <w:lang w:val="en-US" w:eastAsia="zh-CN"/>
        </w:rPr>
      </w:pPr>
      <w:bookmarkStart w:id="77" w:name="_Toc10546"/>
      <w:bookmarkStart w:id="78" w:name="_Toc76462331"/>
      <w:bookmarkStart w:id="79" w:name="_Toc106030886"/>
      <w:bookmarkStart w:id="80" w:name="_Toc344475124"/>
      <w:bookmarkStart w:id="81" w:name="_Toc16689"/>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val="en-US" w:eastAsia="zh-CN"/>
        </w:rPr>
        <w:t>服务及质量要求</w:t>
      </w:r>
      <w:bookmarkEnd w:id="77"/>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内容需经采购人审核通过后方可执行，且需符合国家相关法律法规要求。供应商需对服务内容进行审核，避免数据安全事件等重大错误出现。一经发现采购人有权根据实际造成的影响追究供应商的相应责任。</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（二）供应商需整理服务期间的相关资料，并全部交予采购人验收。</w:t>
      </w: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82" w:name="_Toc26428"/>
      <w:r>
        <w:rPr>
          <w:rFonts w:hint="eastAsia" w:asciiTheme="minorEastAsia" w:hAnsiTheme="minorEastAsia" w:eastAsiaTheme="minorEastAsia" w:cstheme="minorEastAsia"/>
          <w:color w:val="auto"/>
          <w:sz w:val="24"/>
          <w:highlight w:val="none"/>
        </w:rPr>
        <w:t>五、知识产权</w:t>
      </w:r>
      <w:bookmarkEnd w:id="82"/>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在中华人民共和国境内使用成交供应商提供的货物或服务时免受第三方提出的侵犯其专利权或其它知识产权的起诉。如果第三方提出侵权指控，成交供应商应承担由此而引起的一切法律责任和费用。本项目设计的整合方案及概（预）算方案、技术资料、清单、设计方案源文件等知识产权归采购人所有。</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（二）涉及软件开发等服务类项目知识产权的，知识产权归采购人所有。</w:t>
      </w:r>
    </w:p>
    <w:bookmarkEnd w:id="78"/>
    <w:bookmarkEnd w:id="79"/>
    <w:bookmarkEnd w:id="80"/>
    <w:bookmarkEnd w:id="81"/>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83" w:name="_Toc4202"/>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、其他</w:t>
      </w:r>
      <w:bookmarkEnd w:id="83"/>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（一）其他未尽事宜由供需双方在采购合同中详细约定，未改变竞争性磋商文件实质性条款的情况下，以采购人主张为主。</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（二）成交供应商在响应时提供虚假材料或进行虚假响应，或成交后提供的服务 (货物)达不到磋商文件要求及成交供应商响应文件的响应内容的，视为虚假应标，将报监督管理部门依法予以处理。</w:t>
      </w:r>
    </w:p>
    <w:p>
      <w:pPr>
        <w:snapToGrid w:val="0"/>
        <w:spacing w:line="400" w:lineRule="exact"/>
        <w:ind w:firstLine="540"/>
        <w:rPr>
          <w:rFonts w:hint="eastAsia" w:asciiTheme="minorEastAsia" w:hAnsiTheme="minorEastAsia" w:eastAsiaTheme="minorEastAsia" w:cstheme="minorEastAsia"/>
          <w:color w:val="auto"/>
          <w:sz w:val="24"/>
          <w:szCs w:val="24"/>
          <w:highlight w:val="none"/>
        </w:rPr>
      </w:pPr>
    </w:p>
    <w:p>
      <w:pPr>
        <w:pStyle w:val="3"/>
        <w:pageBreakBefore/>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84" w:name="_Toc106030887"/>
      <w:bookmarkEnd w:id="84"/>
      <w:bookmarkStart w:id="85" w:name="_Toc76462332"/>
      <w:bookmarkEnd w:id="85"/>
      <w:bookmarkStart w:id="86" w:name="_Toc9477"/>
      <w:bookmarkEnd w:id="86"/>
      <w:bookmarkStart w:id="87" w:name="_Toc22257"/>
      <w:r>
        <w:rPr>
          <w:rFonts w:hint="eastAsia" w:asciiTheme="minorEastAsia" w:hAnsiTheme="minorEastAsia" w:eastAsiaTheme="minorEastAsia" w:cstheme="minorEastAsia"/>
          <w:b w:val="0"/>
          <w:color w:val="auto"/>
          <w:sz w:val="36"/>
          <w:szCs w:val="30"/>
          <w:highlight w:val="none"/>
        </w:rPr>
        <w:t>第四篇  磋商程序及方法、评审标准、无效响应和</w:t>
      </w:r>
      <w:r>
        <w:rPr>
          <w:rFonts w:hint="eastAsia" w:asciiTheme="minorEastAsia" w:hAnsiTheme="minorEastAsia" w:eastAsiaTheme="minorEastAsia" w:cstheme="minorEastAsia"/>
          <w:b w:val="0"/>
          <w:color w:val="auto"/>
          <w:sz w:val="36"/>
          <w:szCs w:val="36"/>
          <w:highlight w:val="none"/>
        </w:rPr>
        <w:t>采购终止</w:t>
      </w:r>
      <w:bookmarkEnd w:id="87"/>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88" w:name="_Toc19981"/>
      <w:bookmarkEnd w:id="88"/>
      <w:bookmarkStart w:id="89" w:name="_Toc106030888"/>
      <w:bookmarkEnd w:id="89"/>
      <w:bookmarkStart w:id="90" w:name="_Toc76462333"/>
      <w:bookmarkEnd w:id="90"/>
      <w:bookmarkStart w:id="91" w:name="_Toc14678"/>
      <w:r>
        <w:rPr>
          <w:rFonts w:hint="eastAsia" w:asciiTheme="minorEastAsia" w:hAnsiTheme="minorEastAsia" w:eastAsiaTheme="minorEastAsia" w:cstheme="minorEastAsia"/>
          <w:color w:val="auto"/>
          <w:sz w:val="24"/>
          <w:highlight w:val="none"/>
        </w:rPr>
        <w:t>一、磋商程序及方法</w:t>
      </w:r>
      <w:bookmarkEnd w:id="91"/>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磋商按竞争性磋商文件规定的时间和地点进行，供应商须有法定代表人（或其授权代表）或自然人参加并签到。竞争性磋商以抽签的形式确定磋商顺序，由竞争性磋商小组（以下简称磋商小组）分别与各供应商进行磋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（二）磋商小组对各供应商的资格条件、响应文件的有效性、完整性和响应程度进行审查。各供应商只有在完全符合要求的前提下，才能参与正式磋商。</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7"/>
        <w:tblW w:w="8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基本资格条件</w:t>
            </w: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 xml:space="preserve">法人营业执照（副本）或分支机构营业执照或事业单位法人证书（副本）或个体工商户营业执照或有效的自然人身份证明或社会团体法人登记证书（提供复印件）。 </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法定代表人（或负责人）身份证明和法定代表人（或负责人）授权代表委托书。</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3.不具有独立法人的</w:t>
            </w:r>
            <w:r>
              <w:rPr>
                <w:rFonts w:hint="eastAsia" w:asciiTheme="minorEastAsia" w:hAnsiTheme="minorEastAsia" w:eastAsiaTheme="minorEastAsia" w:cstheme="minorEastAsia"/>
                <w:color w:val="auto"/>
                <w:sz w:val="21"/>
                <w:szCs w:val="21"/>
                <w:highlight w:val="none"/>
                <w:lang w:eastAsia="zh-CN"/>
              </w:rPr>
              <w:t>分公司（分支机构）</w:t>
            </w:r>
            <w:r>
              <w:rPr>
                <w:rFonts w:hint="eastAsia" w:asciiTheme="minorEastAsia" w:hAnsiTheme="minorEastAsia" w:eastAsiaTheme="minorEastAsia" w:cstheme="minorEastAsia"/>
                <w:color w:val="auto"/>
                <w:sz w:val="21"/>
                <w:szCs w:val="21"/>
                <w:highlight w:val="none"/>
              </w:rPr>
              <w:t>、办事处等分支机构取得</w:t>
            </w:r>
            <w:r>
              <w:rPr>
                <w:rFonts w:hint="eastAsia" w:asciiTheme="minorEastAsia" w:hAnsiTheme="minorEastAsia" w:eastAsiaTheme="minorEastAsia" w:cstheme="minorEastAsia"/>
                <w:color w:val="auto"/>
                <w:sz w:val="21"/>
                <w:szCs w:val="21"/>
                <w:highlight w:val="none"/>
                <w:lang w:eastAsia="zh-CN"/>
              </w:rPr>
              <w:t>总公司（总部）</w:t>
            </w:r>
            <w:r>
              <w:rPr>
                <w:rFonts w:hint="eastAsia" w:asciiTheme="minorEastAsia" w:hAnsiTheme="minorEastAsia" w:eastAsiaTheme="minorEastAsia" w:cstheme="minorEastAsia"/>
                <w:color w:val="auto"/>
                <w:sz w:val="21"/>
                <w:szCs w:val="21"/>
                <w:highlight w:val="none"/>
              </w:rPr>
              <w:t>授权可以参加</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为</w:t>
            </w:r>
            <w:r>
              <w:rPr>
                <w:rFonts w:hint="eastAsia" w:asciiTheme="minorEastAsia" w:hAnsiTheme="minorEastAsia" w:eastAsiaTheme="minorEastAsia" w:cstheme="minorEastAsia"/>
                <w:color w:val="auto"/>
                <w:sz w:val="21"/>
                <w:szCs w:val="21"/>
                <w:highlight w:val="none"/>
                <w:lang w:eastAsia="zh-CN"/>
              </w:rPr>
              <w:t>分公司（分支机构）</w:t>
            </w:r>
            <w:r>
              <w:rPr>
                <w:rFonts w:hint="eastAsia" w:asciiTheme="minorEastAsia" w:hAnsiTheme="minorEastAsia" w:eastAsiaTheme="minorEastAsia" w:cstheme="minorEastAsia"/>
                <w:color w:val="auto"/>
                <w:sz w:val="21"/>
                <w:szCs w:val="21"/>
                <w:highlight w:val="none"/>
              </w:rPr>
              <w:t>的，可由</w:t>
            </w:r>
            <w:r>
              <w:rPr>
                <w:rFonts w:hint="eastAsia" w:asciiTheme="minorEastAsia" w:hAnsiTheme="minorEastAsia" w:eastAsiaTheme="minorEastAsia" w:cstheme="minorEastAsia"/>
                <w:color w:val="auto"/>
                <w:sz w:val="21"/>
                <w:szCs w:val="21"/>
                <w:highlight w:val="none"/>
                <w:lang w:eastAsia="zh-CN"/>
              </w:rPr>
              <w:t>分公司（分支机构）</w:t>
            </w:r>
            <w:r>
              <w:rPr>
                <w:rFonts w:hint="eastAsia" w:asciiTheme="minorEastAsia" w:hAnsiTheme="minorEastAsia" w:eastAsiaTheme="minorEastAsia" w:cstheme="minorEastAsia"/>
                <w:color w:val="auto"/>
                <w:sz w:val="21"/>
                <w:szCs w:val="21"/>
                <w:highlight w:val="none"/>
              </w:rPr>
              <w:t>负责人</w:t>
            </w:r>
            <w:r>
              <w:rPr>
                <w:rFonts w:hint="eastAsia" w:asciiTheme="minorEastAsia" w:hAnsiTheme="minorEastAsia" w:eastAsiaTheme="minorEastAsia" w:cstheme="minorEastAsia"/>
                <w:color w:val="auto"/>
                <w:sz w:val="21"/>
                <w:szCs w:val="21"/>
                <w:highlight w:val="none"/>
                <w:lang w:val="en-US" w:eastAsia="zh-CN"/>
              </w:rPr>
              <w:t>或其授权的委托人参与磋商</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活动前三年内，在经营活动中没有重大违法记录</w:t>
            </w:r>
          </w:p>
        </w:tc>
        <w:tc>
          <w:tcPr>
            <w:tcW w:w="4984" w:type="dxa"/>
            <w:vMerge w:val="continue"/>
            <w:vAlign w:val="center"/>
          </w:tcPr>
          <w:p>
            <w:pPr>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vMerge w:val="continue"/>
            <w:vAlign w:val="center"/>
          </w:tcPr>
          <w:p>
            <w:pPr>
              <w:rPr>
                <w:rFonts w:hint="eastAsia" w:asciiTheme="minorEastAsia" w:hAnsiTheme="minorEastAsia" w:eastAsiaTheme="minorEastAsia" w:cstheme="minorEastAsia"/>
                <w:color w:val="auto"/>
                <w:sz w:val="21"/>
                <w:szCs w:val="21"/>
                <w:highlight w:val="none"/>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vMerge w:val="continue"/>
            <w:vAlign w:val="center"/>
          </w:tcPr>
          <w:p>
            <w:pPr>
              <w:rPr>
                <w:rFonts w:hint="eastAsia" w:asciiTheme="minorEastAsia" w:hAnsiTheme="minorEastAsia" w:eastAsiaTheme="minorEastAsia" w:cstheme="minorEastAsia"/>
                <w:color w:val="auto"/>
                <w:sz w:val="21"/>
                <w:szCs w:val="21"/>
                <w:highlight w:val="none"/>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按“第一篇三、供应商资格要求（</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rPr>
              <w:t>）本项目的特定资格要求”的要求提交（如果有）。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827" w:type="dxa"/>
            <w:gridSpan w:val="2"/>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磋商保证金</w:t>
            </w:r>
          </w:p>
        </w:tc>
        <w:tc>
          <w:tcPr>
            <w:tcW w:w="4984"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按照磋商文件要求足额缴纳</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保证金。</w:t>
            </w:r>
          </w:p>
        </w:tc>
      </w:tr>
    </w:tbl>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注：“参加</w:t>
      </w:r>
      <w:r>
        <w:rPr>
          <w:rFonts w:hint="eastAsia" w:asciiTheme="minorEastAsia" w:hAnsiTheme="minorEastAsia" w:eastAsiaTheme="minorEastAsia" w:cstheme="minorEastAsia"/>
          <w:color w:val="auto"/>
          <w:kern w:val="0"/>
          <w:sz w:val="24"/>
          <w:szCs w:val="24"/>
          <w:highlight w:val="none"/>
          <w:lang w:eastAsia="zh-CN"/>
        </w:rPr>
        <w:t>采购</w:t>
      </w:r>
      <w:r>
        <w:rPr>
          <w:rFonts w:hint="eastAsia" w:asciiTheme="minorEastAsia" w:hAnsiTheme="minorEastAsia" w:eastAsiaTheme="minorEastAsia" w:cstheme="minorEastAsia"/>
          <w:color w:val="auto"/>
          <w:kern w:val="0"/>
          <w:sz w:val="24"/>
          <w:szCs w:val="24"/>
          <w:highlight w:val="none"/>
        </w:rPr>
        <w:t>活动前三年内，在经营活动中没有重大违法记录”中“重大违法记录”，是指供应商因违法经营受到刑事处罚或者责令停产停业、吊销许可证或者执照、较大数额罚款等行政处罚。行政处罚中“较大数额”的认定标准，参照“财政部关于《中华人民共和国</w:t>
      </w:r>
      <w:r>
        <w:rPr>
          <w:rFonts w:hint="eastAsia" w:asciiTheme="minorEastAsia" w:hAnsiTheme="minorEastAsia" w:eastAsiaTheme="minorEastAsia" w:cstheme="minorEastAsia"/>
          <w:color w:val="auto"/>
          <w:kern w:val="0"/>
          <w:sz w:val="24"/>
          <w:szCs w:val="24"/>
          <w:highlight w:val="none"/>
          <w:lang w:val="en-US" w:eastAsia="zh-CN"/>
        </w:rPr>
        <w:t>政府</w:t>
      </w:r>
      <w:r>
        <w:rPr>
          <w:rFonts w:hint="eastAsia" w:asciiTheme="minorEastAsia" w:hAnsiTheme="minorEastAsia" w:eastAsiaTheme="minorEastAsia" w:cstheme="minorEastAsia"/>
          <w:color w:val="auto"/>
          <w:kern w:val="0"/>
          <w:sz w:val="24"/>
          <w:szCs w:val="24"/>
          <w:highlight w:val="none"/>
          <w:lang w:eastAsia="zh-CN"/>
        </w:rPr>
        <w:t>采购</w:t>
      </w:r>
      <w:r>
        <w:rPr>
          <w:rFonts w:hint="eastAsia" w:asciiTheme="minorEastAsia" w:hAnsiTheme="minorEastAsia" w:eastAsiaTheme="minorEastAsia" w:cstheme="minorEastAsia"/>
          <w:color w:val="auto"/>
          <w:kern w:val="0"/>
          <w:sz w:val="24"/>
          <w:szCs w:val="24"/>
          <w:highlight w:val="none"/>
        </w:rPr>
        <w:t>法实施条例》第十九条第一款“较大数额罚款”具体适用问题的意见（财库〔2022〕3 号）”执行。供应商可于响应文件递交截止时间前通过 “信用中国”网站(www.creditchina.gov.cn)、"中国</w:t>
      </w:r>
      <w:r>
        <w:rPr>
          <w:rFonts w:hint="eastAsia" w:asciiTheme="minorEastAsia" w:hAnsiTheme="minorEastAsia" w:eastAsiaTheme="minorEastAsia" w:cstheme="minorEastAsia"/>
          <w:color w:val="auto"/>
          <w:kern w:val="0"/>
          <w:sz w:val="24"/>
          <w:szCs w:val="24"/>
          <w:highlight w:val="none"/>
          <w:lang w:eastAsia="zh-CN"/>
        </w:rPr>
        <w:t>采购</w:t>
      </w:r>
      <w:r>
        <w:rPr>
          <w:rFonts w:hint="eastAsia" w:asciiTheme="minorEastAsia" w:hAnsiTheme="minorEastAsia" w:eastAsiaTheme="minorEastAsia" w:cstheme="minorEastAsia"/>
          <w:color w:val="auto"/>
          <w:kern w:val="0"/>
          <w:sz w:val="24"/>
          <w:szCs w:val="24"/>
          <w:highlight w:val="none"/>
        </w:rPr>
        <w:t>网"(www.ccgp.gov.cn)等渠道查询信用记录。</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按竞争性磋商文件“</w:t>
            </w:r>
            <w:r>
              <w:rPr>
                <w:rFonts w:hint="eastAsia" w:asciiTheme="minorEastAsia" w:hAnsiTheme="minorEastAsia" w:eastAsiaTheme="minorEastAsia" w:cstheme="minorEastAsia"/>
                <w:color w:val="auto"/>
                <w:sz w:val="21"/>
                <w:szCs w:val="21"/>
                <w:highlight w:val="none"/>
                <w:lang w:eastAsia="zh-CN"/>
              </w:rPr>
              <w:t>第六篇响应文件编制要求</w:t>
            </w:r>
            <w:r>
              <w:rPr>
                <w:rFonts w:hint="eastAsia" w:asciiTheme="minorEastAsia" w:hAnsiTheme="minorEastAsia" w:eastAsiaTheme="minorEastAsia" w:cstheme="minorEastAsia"/>
                <w:color w:val="auto"/>
                <w:sz w:val="21"/>
                <w:szCs w:val="21"/>
                <w:highlight w:val="none"/>
              </w:rPr>
              <w:t>”要求签署或盖章。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上法定代表人或负责人（或其授权代表）或自然人（</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竞争性磋商</w:t>
            </w:r>
            <w:r>
              <w:rPr>
                <w:rFonts w:hint="eastAsia" w:asciiTheme="minorEastAsia" w:hAnsiTheme="minorEastAsia" w:eastAsiaTheme="minorEastAsia" w:cstheme="minorEastAsia"/>
                <w:color w:val="auto"/>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vAlign w:val="center"/>
          </w:tcPr>
          <w:p>
            <w:pPr>
              <w:pStyle w:val="32"/>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对竞争性磋商文件第</w:t>
            </w:r>
            <w:r>
              <w:rPr>
                <w:rFonts w:hint="eastAsia" w:asciiTheme="minorEastAsia" w:hAnsiTheme="minorEastAsia" w:eastAsiaTheme="minorEastAsia" w:cstheme="minorEastAsia"/>
                <w:color w:val="auto"/>
                <w:kern w:val="0"/>
                <w:sz w:val="21"/>
                <w:szCs w:val="21"/>
                <w:highlight w:val="none"/>
                <w:lang w:val="en-US" w:eastAsia="zh-CN"/>
              </w:rPr>
              <w:t>二篇和第</w:t>
            </w:r>
            <w:r>
              <w:rPr>
                <w:rFonts w:hint="eastAsia" w:asciiTheme="minorEastAsia" w:hAnsiTheme="minorEastAsia" w:eastAsiaTheme="minorEastAsia" w:cstheme="minorEastAsia"/>
                <w:color w:val="auto"/>
                <w:kern w:val="0"/>
                <w:sz w:val="21"/>
                <w:szCs w:val="21"/>
                <w:highlight w:val="none"/>
              </w:rPr>
              <w:t>三篇的</w:t>
            </w:r>
            <w:r>
              <w:rPr>
                <w:rFonts w:hint="eastAsia" w:asciiTheme="minorEastAsia" w:hAnsiTheme="minorEastAsia" w:eastAsiaTheme="minorEastAsia" w:cstheme="minorEastAsia"/>
                <w:color w:val="auto"/>
                <w:kern w:val="0"/>
                <w:sz w:val="21"/>
                <w:szCs w:val="21"/>
                <w:highlight w:val="none"/>
                <w:lang w:val="en-US" w:eastAsia="zh-CN"/>
              </w:rPr>
              <w:t>全部内容和</w:t>
            </w:r>
            <w:r>
              <w:rPr>
                <w:rFonts w:hint="eastAsia" w:asciiTheme="minorEastAsia" w:hAnsiTheme="minorEastAsia" w:eastAsiaTheme="minorEastAsia" w:cstheme="minorEastAsia"/>
                <w:color w:val="auto"/>
                <w:kern w:val="0"/>
                <w:sz w:val="21"/>
                <w:szCs w:val="21"/>
                <w:highlight w:val="none"/>
              </w:rPr>
              <w:t>要求作出非负偏离响应。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磋商有效期</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3.在采购过程中符合要求的供应商只有</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家的，竞争性磋商采购活动可以继续进行。</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（五）在磋商过程中磋商的任何一方不得向他人透露与磋商有关的服务资料、价格或其他信息。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（七）供应商在磋商时作出的所有书面承诺须由法定代表人（或其授权代表）或自然人（供应商为自然人）签署。</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（九）磋商小组采用综合评分法对提交最后报价的供应商的响应文件和最后报价（含有效书面承诺）进行综合评分。</w:t>
      </w:r>
      <w:r>
        <w:rPr>
          <w:rFonts w:hint="eastAsia" w:asciiTheme="minorEastAsia" w:hAnsiTheme="minorEastAsia" w:eastAsiaTheme="minorEastAsia" w:cstheme="minorEastAsia"/>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（十）磋商小组各成员独立对每个有效响应（通过资格性审查、</w:t>
      </w:r>
      <w:r>
        <w:rPr>
          <w:rFonts w:hint="eastAsia" w:asciiTheme="minorEastAsia" w:hAnsiTheme="minorEastAsia" w:eastAsiaTheme="minorEastAsia" w:cstheme="minorEastAsia"/>
          <w:color w:val="auto"/>
          <w:kern w:val="0"/>
          <w:sz w:val="24"/>
          <w:szCs w:val="24"/>
          <w:highlight w:val="none"/>
        </w:rPr>
        <w:t>符合性审查的供应商</w:t>
      </w:r>
      <w:r>
        <w:rPr>
          <w:rFonts w:hint="eastAsia" w:asciiTheme="minorEastAsia" w:hAnsiTheme="minorEastAsia" w:eastAsiaTheme="minorEastAsia" w:cstheme="minorEastAsia"/>
          <w:color w:val="auto"/>
          <w:sz w:val="24"/>
          <w:szCs w:val="24"/>
          <w:highlight w:val="none"/>
        </w:rPr>
        <w:t>）的文件进行评价、打分，然后汇总每个供应商每项评分因素的得分，并根据综合评分情况按照评审得分由高到低顺序推荐3名</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color w:val="auto"/>
          <w:sz w:val="24"/>
          <w:szCs w:val="24"/>
          <w:highlight w:val="none"/>
        </w:rPr>
        <w:t>以上成交候选供应商，并编写评审报告。若供应商的评审得分相同的，按照最后报价由低到高的顺序排列推荐。评审得分且最后报价相同的，按照服务指标优劣顺序排列推荐。以上都相同的，按商务条款的优劣顺序排列推荐。（服务部分得分为0的供应商</w:t>
      </w:r>
      <w:r>
        <w:rPr>
          <w:rFonts w:hint="eastAsia" w:asciiTheme="minorEastAsia" w:hAnsiTheme="minorEastAsia" w:eastAsiaTheme="minorEastAsia" w:cstheme="minorEastAsia"/>
          <w:color w:val="auto"/>
          <w:sz w:val="24"/>
          <w:szCs w:val="24"/>
          <w:highlight w:val="none"/>
          <w:lang w:val="en-US" w:eastAsia="zh-CN"/>
        </w:rPr>
        <w:t>将失去</w:t>
      </w:r>
      <w:r>
        <w:rPr>
          <w:rFonts w:hint="eastAsia" w:asciiTheme="minorEastAsia" w:hAnsiTheme="minorEastAsia" w:eastAsiaTheme="minorEastAsia" w:cstheme="minorEastAsia"/>
          <w:color w:val="auto"/>
          <w:sz w:val="24"/>
          <w:szCs w:val="24"/>
          <w:highlight w:val="none"/>
        </w:rPr>
        <w:t>成为成交候选供应商</w:t>
      </w:r>
      <w:r>
        <w:rPr>
          <w:rFonts w:hint="eastAsia" w:asciiTheme="minorEastAsia" w:hAnsiTheme="minorEastAsia" w:eastAsiaTheme="minorEastAsia" w:cstheme="minorEastAsia"/>
          <w:color w:val="auto"/>
          <w:sz w:val="24"/>
          <w:szCs w:val="24"/>
          <w:highlight w:val="none"/>
          <w:lang w:val="en-US" w:eastAsia="zh-CN"/>
        </w:rPr>
        <w:t>资格</w:t>
      </w:r>
      <w:r>
        <w:rPr>
          <w:rFonts w:hint="eastAsia" w:asciiTheme="minorEastAsia" w:hAnsiTheme="minorEastAsia" w:eastAsiaTheme="minorEastAsia" w:cstheme="minorEastAsia"/>
          <w:color w:val="auto"/>
          <w:sz w:val="24"/>
          <w:szCs w:val="24"/>
          <w:highlight w:val="none"/>
        </w:rPr>
        <w:t>）</w:t>
      </w: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92" w:name="_Toc76462334"/>
      <w:bookmarkEnd w:id="92"/>
      <w:bookmarkStart w:id="93" w:name="_Toc106030889"/>
      <w:bookmarkEnd w:id="93"/>
      <w:bookmarkStart w:id="94" w:name="_Toc24604"/>
      <w:bookmarkEnd w:id="94"/>
      <w:bookmarkStart w:id="95" w:name="_Toc15267"/>
      <w:bookmarkStart w:id="96" w:name="_Toc102227320"/>
      <w:bookmarkStart w:id="97" w:name="_Toc342913394"/>
      <w:r>
        <w:rPr>
          <w:rFonts w:hint="eastAsia" w:asciiTheme="minorEastAsia" w:hAnsiTheme="minorEastAsia" w:eastAsiaTheme="minorEastAsia" w:cstheme="minorEastAsia"/>
          <w:color w:val="auto"/>
          <w:sz w:val="24"/>
          <w:highlight w:val="none"/>
        </w:rPr>
        <w:t>二、评审标准</w:t>
      </w:r>
      <w:bookmarkEnd w:id="95"/>
    </w:p>
    <w:tbl>
      <w:tblPr>
        <w:tblStyle w:val="57"/>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160"/>
        <w:gridCol w:w="1160"/>
        <w:gridCol w:w="4643"/>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Align w:val="center"/>
          </w:tcPr>
          <w:p>
            <w:pPr>
              <w:spacing w:line="240" w:lineRule="auto"/>
              <w:jc w:val="center"/>
              <w:rPr>
                <w:rFonts w:hint="eastAsia" w:asciiTheme="minorEastAsia" w:hAnsiTheme="minorEastAsia" w:eastAsiaTheme="minorEastAsia" w:cstheme="minorEastAsia"/>
                <w:b/>
                <w:color w:val="auto"/>
                <w:sz w:val="21"/>
                <w:szCs w:val="21"/>
                <w:highlight w:val="none"/>
              </w:rPr>
            </w:pPr>
            <w:bookmarkStart w:id="98" w:name="_Toc76462335"/>
            <w:bookmarkEnd w:id="98"/>
            <w:bookmarkStart w:id="99" w:name="_Toc106030890"/>
            <w:bookmarkEnd w:id="99"/>
            <w:bookmarkStart w:id="100" w:name="_Toc8811"/>
            <w:bookmarkEnd w:id="100"/>
            <w:bookmarkStart w:id="101" w:name="_Toc21473"/>
            <w:bookmarkStart w:id="102" w:name="_Toc31747"/>
            <w:r>
              <w:rPr>
                <w:rFonts w:hint="eastAsia" w:asciiTheme="minorEastAsia" w:hAnsiTheme="minorEastAsia" w:eastAsiaTheme="minorEastAsia" w:cstheme="minorEastAsia"/>
                <w:b/>
                <w:color w:val="auto"/>
                <w:sz w:val="21"/>
                <w:szCs w:val="21"/>
                <w:highlight w:val="none"/>
              </w:rPr>
              <w:t>序号</w:t>
            </w:r>
          </w:p>
        </w:tc>
        <w:tc>
          <w:tcPr>
            <w:tcW w:w="1160" w:type="dxa"/>
            <w:vAlign w:val="center"/>
          </w:tcPr>
          <w:p>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1160" w:type="dxa"/>
            <w:vAlign w:val="center"/>
          </w:tcPr>
          <w:p>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643" w:type="dxa"/>
            <w:vAlign w:val="center"/>
          </w:tcPr>
          <w:p>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1961" w:type="dxa"/>
            <w:vAlign w:val="center"/>
          </w:tcPr>
          <w:p>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tcBorders>
              <w:bottom w:val="single" w:color="auto" w:sz="4" w:space="0"/>
            </w:tcBorders>
            <w:vAlign w:val="center"/>
          </w:tcPr>
          <w:p>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60" w:type="dxa"/>
            <w:tcBorders>
              <w:bottom w:val="single" w:color="auto" w:sz="4" w:space="0"/>
            </w:tcBorders>
            <w:vAlign w:val="center"/>
          </w:tcPr>
          <w:p>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报价</w:t>
            </w:r>
          </w:p>
          <w:p>
            <w:pPr>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p>
        </w:tc>
        <w:tc>
          <w:tcPr>
            <w:tcW w:w="1160" w:type="dxa"/>
            <w:tcBorders>
              <w:bottom w:val="single" w:color="auto" w:sz="4" w:space="0"/>
            </w:tcBorders>
            <w:vAlign w:val="center"/>
          </w:tcPr>
          <w:p>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 10</w:t>
            </w:r>
            <w:r>
              <w:rPr>
                <w:rFonts w:hint="eastAsia" w:asciiTheme="minorEastAsia" w:hAnsiTheme="minorEastAsia" w:eastAsiaTheme="minorEastAsia" w:cstheme="minorEastAsia"/>
                <w:color w:val="auto"/>
                <w:sz w:val="21"/>
                <w:szCs w:val="21"/>
                <w:highlight w:val="none"/>
              </w:rPr>
              <w:t>分</w:t>
            </w:r>
          </w:p>
        </w:tc>
        <w:tc>
          <w:tcPr>
            <w:tcW w:w="4643" w:type="dxa"/>
            <w:tcBorders>
              <w:bottom w:val="single" w:color="auto" w:sz="4" w:space="0"/>
            </w:tcBorders>
            <w:vAlign w:val="center"/>
          </w:tcPr>
          <w:p>
            <w:pPr>
              <w:widowControl/>
              <w:shd w:val="clear" w:fill="auto"/>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满足资格性、符合性要求且最后报价最低的供应商的价格为评审基准价，其价格分为满分。其他供应商的价格分统一按照下列公式计算：</w:t>
            </w:r>
          </w:p>
          <w:p>
            <w:pPr>
              <w:widowControl/>
              <w:shd w:val="clear" w:fill="auto"/>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磋商报价得分=（评审基准价/供应商报价）×价格权值×100</w:t>
            </w:r>
          </w:p>
        </w:tc>
        <w:tc>
          <w:tcPr>
            <w:tcW w:w="1961" w:type="dxa"/>
            <w:tcBorders>
              <w:bottom w:val="single" w:color="auto" w:sz="4" w:space="0"/>
            </w:tcBorders>
            <w:vAlign w:val="center"/>
          </w:tcPr>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评分计算过程中按“四舍五入”原则保留小数点后两位。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Merge w:val="restart"/>
            <w:tcBorders>
              <w:top w:val="single" w:color="auto" w:sz="4" w:space="0"/>
            </w:tcBorders>
            <w:vAlign w:val="center"/>
          </w:tcPr>
          <w:p>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w:t>
            </w:r>
          </w:p>
        </w:tc>
        <w:tc>
          <w:tcPr>
            <w:tcW w:w="1160" w:type="dxa"/>
            <w:vMerge w:val="restart"/>
            <w:tcBorders>
              <w:top w:val="single" w:color="auto" w:sz="4" w:space="0"/>
            </w:tcBorders>
            <w:vAlign w:val="center"/>
          </w:tcPr>
          <w:p>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rPr>
              <w:t>部分</w:t>
            </w:r>
          </w:p>
          <w:p>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w:t>
            </w:r>
          </w:p>
        </w:tc>
        <w:tc>
          <w:tcPr>
            <w:tcW w:w="1160" w:type="dxa"/>
            <w:tcBorders>
              <w:top w:val="single" w:color="auto" w:sz="4" w:space="0"/>
            </w:tcBorders>
            <w:vAlign w:val="center"/>
          </w:tcPr>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项目理解（15分）</w:t>
            </w:r>
          </w:p>
        </w:tc>
        <w:tc>
          <w:tcPr>
            <w:tcW w:w="4643" w:type="dxa"/>
            <w:tcBorders>
              <w:top w:val="single" w:color="auto" w:sz="4" w:space="0"/>
            </w:tcBorders>
            <w:vAlign w:val="center"/>
          </w:tcPr>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供应商结合项目服务需求阐述自身对项目的理解，阐述内容需包含：</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1.融合互促理解；</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2.数据概况分析等。</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方案内容不存在瑕疵得15分；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方案内容存在1处瑕疵得10分；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方案内容存在2处瑕疵得5分；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方案内容存在3处及以上瑕疵的或未提供不得分。</w:t>
            </w:r>
          </w:p>
        </w:tc>
        <w:tc>
          <w:tcPr>
            <w:tcW w:w="1961" w:type="dxa"/>
            <w:vMerge w:val="restart"/>
            <w:tcBorders>
              <w:top w:val="single" w:color="auto" w:sz="4" w:space="0"/>
            </w:tcBorders>
            <w:vAlign w:val="center"/>
          </w:tcPr>
          <w:p>
            <w:pPr>
              <w:spacing w:line="240" w:lineRule="auto"/>
              <w:jc w:val="left"/>
              <w:rPr>
                <w:rFonts w:hint="eastAsia" w:asciiTheme="minorEastAsia" w:hAnsiTheme="minorEastAsia" w:eastAsiaTheme="minorEastAsia" w:cstheme="minorEastAsia"/>
                <w:color w:val="auto"/>
                <w:sz w:val="21"/>
                <w:szCs w:val="21"/>
                <w:highlight w:val="none"/>
              </w:rPr>
            </w:pPr>
          </w:p>
          <w:p>
            <w:pPr>
              <w:spacing w:line="240" w:lineRule="auto"/>
              <w:jc w:val="left"/>
              <w:rPr>
                <w:rFonts w:hint="eastAsia" w:asciiTheme="minorEastAsia" w:hAnsiTheme="minorEastAsia" w:eastAsiaTheme="minorEastAsia" w:cstheme="minorEastAsia"/>
                <w:color w:val="auto"/>
                <w:sz w:val="21"/>
                <w:szCs w:val="21"/>
                <w:highlight w:val="none"/>
              </w:rPr>
            </w:pPr>
          </w:p>
          <w:p>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1.提供方案（格式自定）</w:t>
            </w:r>
          </w:p>
          <w:p>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2.本项内容中所称的“瑕疵”指</w:t>
            </w:r>
            <w:r>
              <w:rPr>
                <w:rFonts w:hint="eastAsia" w:asciiTheme="minorEastAsia" w:hAnsiTheme="minorEastAsia" w:eastAsiaTheme="minorEastAsia" w:cstheme="minorEastAsia"/>
                <w:color w:val="auto"/>
                <w:sz w:val="21"/>
                <w:szCs w:val="21"/>
                <w:highlight w:val="none"/>
                <w:lang w:eastAsia="zh-CN"/>
              </w:rPr>
              <w:t>：</w:t>
            </w:r>
          </w:p>
          <w:p>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方案内容缺项、内容表述不完整、缺少关键分析点</w:t>
            </w:r>
            <w:r>
              <w:rPr>
                <w:rFonts w:hint="eastAsia" w:asciiTheme="minorEastAsia" w:hAnsiTheme="minorEastAsia" w:eastAsiaTheme="minorEastAsia" w:cstheme="minorEastAsia"/>
                <w:color w:val="auto"/>
                <w:sz w:val="21"/>
                <w:szCs w:val="21"/>
                <w:highlight w:val="none"/>
                <w:lang w:eastAsia="zh-CN"/>
              </w:rPr>
              <w:t>；</w:t>
            </w:r>
          </w:p>
          <w:p>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方案内容表述前后矛盾、无连贯性</w:t>
            </w:r>
            <w:r>
              <w:rPr>
                <w:rFonts w:hint="eastAsia" w:asciiTheme="minorEastAsia" w:hAnsiTheme="minorEastAsia" w:eastAsiaTheme="minorEastAsia" w:cstheme="minorEastAsia"/>
                <w:color w:val="auto"/>
                <w:sz w:val="21"/>
                <w:szCs w:val="21"/>
                <w:highlight w:val="none"/>
                <w:lang w:eastAsia="zh-CN"/>
              </w:rPr>
              <w:t>；</w:t>
            </w:r>
          </w:p>
          <w:p>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内容存在逻辑漏洞、常识错误、科学原理错误</w:t>
            </w:r>
            <w:r>
              <w:rPr>
                <w:rFonts w:hint="eastAsia" w:asciiTheme="minorEastAsia" w:hAnsiTheme="minorEastAsia" w:eastAsiaTheme="minorEastAsia" w:cstheme="minorEastAsia"/>
                <w:color w:val="auto"/>
                <w:sz w:val="21"/>
                <w:szCs w:val="21"/>
                <w:highlight w:val="none"/>
                <w:lang w:eastAsia="zh-CN"/>
              </w:rPr>
              <w:t>；</w:t>
            </w:r>
          </w:p>
          <w:p>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措施安排并不适用本项目特性或非专门针对本项目制定</w:t>
            </w:r>
            <w:r>
              <w:rPr>
                <w:rFonts w:hint="eastAsia" w:asciiTheme="minorEastAsia" w:hAnsiTheme="minorEastAsia" w:eastAsiaTheme="minorEastAsia" w:cstheme="minorEastAsia"/>
                <w:color w:val="auto"/>
                <w:sz w:val="21"/>
                <w:szCs w:val="21"/>
                <w:highlight w:val="none"/>
                <w:lang w:eastAsia="zh-CN"/>
              </w:rPr>
              <w:t>；</w:t>
            </w:r>
          </w:p>
          <w:p>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方案中提出的措施举措不利于本项目目标的实现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内容空泛，无具体方法或内容</w:t>
            </w:r>
            <w:r>
              <w:rPr>
                <w:rFonts w:hint="eastAsia" w:asciiTheme="minorEastAsia" w:hAnsiTheme="minorEastAsia" w:eastAsiaTheme="minorEastAsia" w:cstheme="minorEastAsia"/>
                <w:color w:val="auto"/>
                <w:sz w:val="21"/>
                <w:szCs w:val="21"/>
                <w:highlight w:val="none"/>
                <w:lang w:val="en-US" w:eastAsia="zh-CN"/>
              </w:rPr>
              <w:t>或可行性差</w:t>
            </w:r>
            <w:r>
              <w:rPr>
                <w:rFonts w:hint="eastAsia" w:asciiTheme="minorEastAsia" w:hAnsiTheme="minorEastAsia" w:eastAsiaTheme="minorEastAsia" w:cstheme="minorEastAsia"/>
                <w:color w:val="auto"/>
                <w:sz w:val="21"/>
                <w:szCs w:val="21"/>
                <w:highlight w:val="none"/>
                <w:lang w:eastAsia="zh-CN"/>
              </w:rPr>
              <w:t>；</w:t>
            </w:r>
          </w:p>
          <w:p>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现有技术条件下不可能</w:t>
            </w:r>
            <w:r>
              <w:rPr>
                <w:rFonts w:hint="eastAsia" w:asciiTheme="minorEastAsia" w:hAnsiTheme="minorEastAsia" w:eastAsiaTheme="minorEastAsia" w:cstheme="minorEastAsia"/>
                <w:color w:val="auto"/>
                <w:sz w:val="21"/>
                <w:szCs w:val="21"/>
                <w:highlight w:val="none"/>
                <w:lang w:val="en-US" w:eastAsia="zh-CN"/>
              </w:rPr>
              <w:t>实现的</w:t>
            </w:r>
            <w:r>
              <w:rPr>
                <w:rFonts w:hint="eastAsia" w:asciiTheme="minorEastAsia" w:hAnsiTheme="minorEastAsia" w:eastAsiaTheme="minorEastAsia" w:cstheme="minorEastAsia"/>
                <w:color w:val="auto"/>
                <w:sz w:val="21"/>
                <w:szCs w:val="21"/>
                <w:highlight w:val="none"/>
              </w:rPr>
              <w:t>情形。</w:t>
            </w:r>
          </w:p>
          <w:p>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上述任意一种情形为1处瑕疵。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Merge w:val="continue"/>
            <w:vAlign w:val="center"/>
          </w:tcPr>
          <w:p>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160" w:type="dxa"/>
            <w:vMerge w:val="continue"/>
            <w:vAlign w:val="center"/>
          </w:tcPr>
          <w:p>
            <w:pPr>
              <w:spacing w:line="240" w:lineRule="auto"/>
              <w:jc w:val="center"/>
              <w:rPr>
                <w:rFonts w:hint="eastAsia" w:asciiTheme="minorEastAsia" w:hAnsiTheme="minorEastAsia" w:eastAsiaTheme="minorEastAsia" w:cstheme="minorEastAsia"/>
                <w:color w:val="auto"/>
                <w:sz w:val="21"/>
                <w:szCs w:val="21"/>
                <w:highlight w:val="none"/>
              </w:rPr>
            </w:pPr>
          </w:p>
        </w:tc>
        <w:tc>
          <w:tcPr>
            <w:tcW w:w="1160" w:type="dxa"/>
            <w:vMerge w:val="restart"/>
            <w:tcBorders>
              <w:top w:val="single" w:color="auto" w:sz="4" w:space="0"/>
            </w:tcBorders>
            <w:vAlign w:val="center"/>
          </w:tcPr>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服务方案（35分）</w:t>
            </w:r>
          </w:p>
        </w:tc>
        <w:tc>
          <w:tcPr>
            <w:tcW w:w="4643" w:type="dxa"/>
            <w:tcBorders>
              <w:top w:val="single" w:color="auto" w:sz="4" w:space="0"/>
            </w:tcBorders>
            <w:vAlign w:val="center"/>
          </w:tcPr>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供应商针对本项目服务需求编制服务技术方案，方案内容需包含：</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1.专题报告撰写；</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2.工会重要数据常态化支撑服务等。</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方案内容不存在瑕疵得20分；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方案内容存在1处瑕疵得15分；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方案内容存在2处瑕疵得10分；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方案内容存在3处瑕疵得5分；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方案内容存在4处及以上瑕疵的或未提供不得分。</w:t>
            </w:r>
          </w:p>
        </w:tc>
        <w:tc>
          <w:tcPr>
            <w:tcW w:w="1961" w:type="dxa"/>
            <w:vMerge w:val="continue"/>
            <w:vAlign w:val="center"/>
          </w:tcPr>
          <w:p>
            <w:pPr>
              <w:spacing w:line="240" w:lineRule="auto"/>
              <w:jc w:val="left"/>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Merge w:val="continue"/>
            <w:vAlign w:val="center"/>
          </w:tcPr>
          <w:p>
            <w:pPr>
              <w:spacing w:line="240" w:lineRule="auto"/>
              <w:jc w:val="center"/>
              <w:rPr>
                <w:rFonts w:hint="eastAsia" w:asciiTheme="minorEastAsia" w:hAnsiTheme="minorEastAsia" w:eastAsiaTheme="minorEastAsia" w:cstheme="minorEastAsia"/>
                <w:color w:val="auto"/>
                <w:sz w:val="21"/>
                <w:szCs w:val="21"/>
                <w:highlight w:val="none"/>
              </w:rPr>
            </w:pPr>
          </w:p>
        </w:tc>
        <w:tc>
          <w:tcPr>
            <w:tcW w:w="1160" w:type="dxa"/>
            <w:vMerge w:val="continue"/>
            <w:vAlign w:val="center"/>
          </w:tcPr>
          <w:p>
            <w:pPr>
              <w:spacing w:line="240" w:lineRule="auto"/>
              <w:jc w:val="center"/>
              <w:rPr>
                <w:rFonts w:hint="eastAsia" w:asciiTheme="minorEastAsia" w:hAnsiTheme="minorEastAsia" w:eastAsiaTheme="minorEastAsia" w:cstheme="minorEastAsia"/>
                <w:color w:val="auto"/>
                <w:sz w:val="21"/>
                <w:szCs w:val="21"/>
                <w:highlight w:val="none"/>
              </w:rPr>
            </w:pPr>
          </w:p>
        </w:tc>
        <w:tc>
          <w:tcPr>
            <w:tcW w:w="1160" w:type="dxa"/>
            <w:vMerge w:val="continue"/>
            <w:vAlign w:val="center"/>
          </w:tcPr>
          <w:p>
            <w:pPr>
              <w:spacing w:line="240" w:lineRule="auto"/>
              <w:rPr>
                <w:rFonts w:hint="eastAsia" w:asciiTheme="minorEastAsia" w:hAnsiTheme="minorEastAsia" w:eastAsiaTheme="minorEastAsia" w:cstheme="minorEastAsia"/>
                <w:color w:val="auto"/>
                <w:sz w:val="21"/>
                <w:szCs w:val="21"/>
                <w:highlight w:val="none"/>
                <w:lang w:val="en-US" w:eastAsia="zh-CN"/>
              </w:rPr>
            </w:pPr>
          </w:p>
        </w:tc>
        <w:tc>
          <w:tcPr>
            <w:tcW w:w="4643" w:type="dxa"/>
            <w:tcBorders>
              <w:top w:val="single" w:color="auto" w:sz="4" w:space="0"/>
            </w:tcBorders>
            <w:vAlign w:val="center"/>
          </w:tcPr>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供应商针对本项目服务需求编制服务实施方案，方案内容需包含：</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1.实施计划；</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2.进度保障措施；</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3.安全保障措施；</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4.应急预案等。</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方案内容不存在瑕疵得15分；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方案内容存在1处瑕疵得10分；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方案内容存在2处瑕疵得5分；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方案内容存在3处及以上瑕疵的或未提供不得分。</w:t>
            </w:r>
          </w:p>
        </w:tc>
        <w:tc>
          <w:tcPr>
            <w:tcW w:w="1961" w:type="dxa"/>
            <w:vMerge w:val="continue"/>
            <w:vAlign w:val="center"/>
          </w:tcPr>
          <w:p>
            <w:pPr>
              <w:spacing w:line="240" w:lineRule="auto"/>
              <w:jc w:val="left"/>
              <w:rPr>
                <w:rFonts w:hint="eastAsia" w:asciiTheme="minorEastAsia" w:hAnsiTheme="minorEastAsia" w:eastAsiaTheme="minorEastAsia" w:cstheme="minorEastAsia"/>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Merge w:val="continue"/>
            <w:vAlign w:val="center"/>
          </w:tcPr>
          <w:p>
            <w:pPr>
              <w:spacing w:line="240" w:lineRule="auto"/>
              <w:jc w:val="center"/>
              <w:rPr>
                <w:rFonts w:hint="eastAsia" w:asciiTheme="minorEastAsia" w:hAnsiTheme="minorEastAsia" w:eastAsiaTheme="minorEastAsia" w:cstheme="minorEastAsia"/>
                <w:color w:val="auto"/>
                <w:sz w:val="21"/>
                <w:szCs w:val="21"/>
                <w:highlight w:val="none"/>
              </w:rPr>
            </w:pPr>
          </w:p>
        </w:tc>
        <w:tc>
          <w:tcPr>
            <w:tcW w:w="1160" w:type="dxa"/>
            <w:vMerge w:val="continue"/>
            <w:vAlign w:val="center"/>
          </w:tcPr>
          <w:p>
            <w:pPr>
              <w:spacing w:line="240" w:lineRule="auto"/>
              <w:rPr>
                <w:rFonts w:hint="eastAsia" w:asciiTheme="minorEastAsia" w:hAnsiTheme="minorEastAsia" w:eastAsiaTheme="minorEastAsia" w:cstheme="minorEastAsia"/>
                <w:color w:val="auto"/>
                <w:sz w:val="21"/>
                <w:szCs w:val="21"/>
                <w:highlight w:val="none"/>
              </w:rPr>
            </w:pPr>
          </w:p>
        </w:tc>
        <w:tc>
          <w:tcPr>
            <w:tcW w:w="1160" w:type="dxa"/>
            <w:tcBorders>
              <w:top w:val="single" w:color="auto" w:sz="4" w:space="0"/>
            </w:tcBorders>
            <w:vAlign w:val="center"/>
          </w:tcPr>
          <w:p>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保障方案（20分）</w:t>
            </w:r>
          </w:p>
        </w:tc>
        <w:tc>
          <w:tcPr>
            <w:tcW w:w="4643" w:type="dxa"/>
            <w:tcBorders>
              <w:top w:val="single" w:color="auto" w:sz="4" w:space="0"/>
            </w:tcBorders>
            <w:vAlign w:val="center"/>
          </w:tcPr>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sz w:val="21"/>
                <w:szCs w:val="21"/>
                <w:highlight w:val="none"/>
                <w:lang w:val="en-US" w:eastAsia="zh-CN"/>
              </w:rPr>
              <w:t>针对本项目服务需求编制</w:t>
            </w:r>
            <w:r>
              <w:rPr>
                <w:rFonts w:hint="eastAsia" w:asciiTheme="minorEastAsia" w:hAnsiTheme="minorEastAsia" w:eastAsiaTheme="minorEastAsia" w:cstheme="minorEastAsia"/>
                <w:color w:val="auto"/>
                <w:sz w:val="21"/>
                <w:szCs w:val="21"/>
                <w:highlight w:val="none"/>
              </w:rPr>
              <w:t>服务保障方案，</w:t>
            </w:r>
            <w:r>
              <w:rPr>
                <w:rFonts w:hint="eastAsia" w:asciiTheme="minorEastAsia" w:hAnsiTheme="minorEastAsia" w:eastAsiaTheme="minorEastAsia" w:cstheme="minorEastAsia"/>
                <w:color w:val="auto"/>
                <w:sz w:val="21"/>
                <w:szCs w:val="21"/>
                <w:highlight w:val="none"/>
                <w:lang w:val="en-US" w:eastAsia="zh-CN"/>
              </w:rPr>
              <w:t>方案内容需包含：</w:t>
            </w:r>
          </w:p>
          <w:p>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1.组织保障</w:t>
            </w:r>
            <w:r>
              <w:rPr>
                <w:rFonts w:hint="eastAsia" w:asciiTheme="minorEastAsia" w:hAnsiTheme="minorEastAsia" w:eastAsiaTheme="minorEastAsia" w:cstheme="minorEastAsia"/>
                <w:color w:val="auto"/>
                <w:sz w:val="21"/>
                <w:szCs w:val="21"/>
                <w:highlight w:val="none"/>
                <w:lang w:eastAsia="zh-CN"/>
              </w:rPr>
              <w:t>；</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2.培训服务；</w:t>
            </w:r>
          </w:p>
          <w:p>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3.服务期运维保障等</w:t>
            </w:r>
            <w:r>
              <w:rPr>
                <w:rFonts w:hint="eastAsia" w:asciiTheme="minorEastAsia" w:hAnsiTheme="minorEastAsia" w:eastAsiaTheme="minorEastAsia" w:cstheme="minorEastAsia"/>
                <w:color w:val="auto"/>
                <w:sz w:val="21"/>
                <w:szCs w:val="21"/>
                <w:highlight w:val="none"/>
                <w:lang w:eastAsia="zh-CN"/>
              </w:rPr>
              <w:t>。</w:t>
            </w:r>
          </w:p>
          <w:p>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方案内容不存在瑕疵得20分；</w:t>
            </w:r>
          </w:p>
          <w:p>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方案内容存在1处瑕疵得15分；</w:t>
            </w:r>
          </w:p>
          <w:p>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方案内容存在2处瑕疵得10分；</w:t>
            </w:r>
          </w:p>
          <w:p>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方案内容存在3处瑕疵得5分；</w:t>
            </w:r>
          </w:p>
          <w:p>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方案内容存在4处及以上瑕疵的或未提供不得分。</w:t>
            </w:r>
          </w:p>
        </w:tc>
        <w:tc>
          <w:tcPr>
            <w:tcW w:w="1961" w:type="dxa"/>
            <w:vMerge w:val="continue"/>
            <w:vAlign w:val="center"/>
          </w:tcPr>
          <w:p>
            <w:pP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Merge w:val="restart"/>
            <w:vAlign w:val="center"/>
          </w:tcPr>
          <w:p>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160" w:type="dxa"/>
            <w:vMerge w:val="restart"/>
            <w:vAlign w:val="center"/>
          </w:tcPr>
          <w:p>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val="en-US" w:eastAsia="zh-CN"/>
              </w:rPr>
              <w:t>部分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w:t>
            </w:r>
          </w:p>
        </w:tc>
        <w:tc>
          <w:tcPr>
            <w:tcW w:w="1160" w:type="dxa"/>
            <w:vMerge w:val="restart"/>
            <w:vAlign w:val="center"/>
          </w:tcPr>
          <w:p>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w:t>
            </w:r>
          </w:p>
          <w:p>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实力</w:t>
            </w:r>
          </w:p>
          <w:p>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（20分）</w:t>
            </w:r>
          </w:p>
        </w:tc>
        <w:tc>
          <w:tcPr>
            <w:tcW w:w="4643" w:type="dxa"/>
            <w:vAlign w:val="center"/>
          </w:tcPr>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履约能力（5分）：</w:t>
            </w:r>
          </w:p>
          <w:p>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供应商具备GB/T37988-2019数据安全能力成熟度认证证书（DSMM），</w:t>
            </w:r>
            <w:r>
              <w:rPr>
                <w:rFonts w:hint="eastAsia" w:asciiTheme="minorEastAsia" w:hAnsiTheme="minorEastAsia" w:eastAsiaTheme="minorEastAsia" w:cstheme="minorEastAsia"/>
                <w:color w:val="auto"/>
                <w:sz w:val="21"/>
                <w:szCs w:val="21"/>
                <w:highlight w:val="none"/>
                <w:lang w:val="en-US" w:eastAsia="zh-CN"/>
              </w:rPr>
              <w:t>得5分</w:t>
            </w:r>
            <w:r>
              <w:rPr>
                <w:rFonts w:hint="eastAsia" w:asciiTheme="minorEastAsia" w:hAnsiTheme="minorEastAsia" w:eastAsiaTheme="minorEastAsia" w:cstheme="minorEastAsia"/>
                <w:color w:val="auto"/>
                <w:sz w:val="21"/>
                <w:szCs w:val="21"/>
                <w:highlight w:val="none"/>
                <w:lang w:eastAsia="zh-CN"/>
              </w:rPr>
              <w:t>。</w:t>
            </w:r>
          </w:p>
        </w:tc>
        <w:tc>
          <w:tcPr>
            <w:tcW w:w="1961" w:type="dxa"/>
            <w:vMerge w:val="restart"/>
            <w:vAlign w:val="center"/>
          </w:tcPr>
          <w:p>
            <w:pPr>
              <w:pStyle w:val="15"/>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1.提供有效证书复印件并加盖供应商公章。</w:t>
            </w:r>
          </w:p>
          <w:p>
            <w:pPr>
              <w:pStyle w:val="15"/>
              <w:spacing w:line="240" w:lineRule="auto"/>
              <w:ind w:left="0" w:leftChars="0" w:firstLine="0" w:firstLineChars="0"/>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2.提供团队成员名单、职责划分：</w:t>
            </w:r>
          </w:p>
          <w:p>
            <w:pPr>
              <w:pStyle w:val="15"/>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提供人员相关证书复印件并加盖</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公章；</w:t>
            </w:r>
          </w:p>
          <w:p>
            <w:pPr>
              <w:pStyle w:val="15"/>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提供</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为人员在2025年</w:t>
            </w:r>
            <w:r>
              <w:rPr>
                <w:rFonts w:hint="eastAsia" w:asciiTheme="minorEastAsia" w:hAnsiTheme="minorEastAsia" w:eastAsiaTheme="minorEastAsia" w:cstheme="minorEastAsia"/>
                <w:color w:val="auto"/>
                <w:sz w:val="21"/>
                <w:szCs w:val="21"/>
                <w:highlight w:val="none"/>
                <w:lang w:val="en-US" w:eastAsia="zh-CN"/>
              </w:rPr>
              <w:t>任意1个月</w:t>
            </w:r>
            <w:r>
              <w:rPr>
                <w:rFonts w:hint="eastAsia" w:asciiTheme="minorEastAsia" w:hAnsiTheme="minorEastAsia" w:eastAsiaTheme="minorEastAsia" w:cstheme="minorEastAsia"/>
                <w:color w:val="auto"/>
                <w:sz w:val="21"/>
                <w:szCs w:val="21"/>
                <w:highlight w:val="none"/>
              </w:rPr>
              <w:t>缴纳社保的证明材料复印件并加盖</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公章（成立不足三个月的新公司或新入职的员工，可提供劳务合同复印件）</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Merge w:val="continue"/>
            <w:vAlign w:val="center"/>
          </w:tcPr>
          <w:p>
            <w:pPr>
              <w:spacing w:line="240" w:lineRule="auto"/>
              <w:jc w:val="center"/>
              <w:rPr>
                <w:rFonts w:hint="eastAsia" w:asciiTheme="minorEastAsia" w:hAnsiTheme="minorEastAsia" w:eastAsiaTheme="minorEastAsia" w:cstheme="minorEastAsia"/>
                <w:color w:val="auto"/>
                <w:sz w:val="21"/>
                <w:szCs w:val="21"/>
                <w:highlight w:val="none"/>
              </w:rPr>
            </w:pPr>
          </w:p>
        </w:tc>
        <w:tc>
          <w:tcPr>
            <w:tcW w:w="1160" w:type="dxa"/>
            <w:vMerge w:val="continue"/>
            <w:vAlign w:val="center"/>
          </w:tcPr>
          <w:p>
            <w:pPr>
              <w:spacing w:line="240" w:lineRule="auto"/>
              <w:jc w:val="center"/>
              <w:rPr>
                <w:rFonts w:hint="eastAsia" w:asciiTheme="minorEastAsia" w:hAnsiTheme="minorEastAsia" w:eastAsiaTheme="minorEastAsia" w:cstheme="minorEastAsia"/>
                <w:color w:val="auto"/>
                <w:sz w:val="21"/>
                <w:szCs w:val="21"/>
                <w:highlight w:val="none"/>
              </w:rPr>
            </w:pPr>
          </w:p>
        </w:tc>
        <w:tc>
          <w:tcPr>
            <w:tcW w:w="1160" w:type="dxa"/>
            <w:vMerge w:val="continue"/>
            <w:vAlign w:val="center"/>
          </w:tcPr>
          <w:p>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4643" w:type="dxa"/>
            <w:vAlign w:val="center"/>
          </w:tcPr>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项目团队（15分）：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1.拟任项目经理1人（5分）：</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具备大数据智能化专业中级及以上职称证书，得5分。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2.拟任的项目团队成员（不含项目经理）（10分）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具备中华人民共和国人力资源和社会保障部、工业和信息化部颁发的：系统架构设计师或系统规划与管理师或系统分析师或网络规划设计师或信息系统项目管理师，每提供一个得2.5分，同一证书不累计分数，最多得5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（2）具备中华人民共和国人力资源和社会保障部、工业和信息化部颁发的：数据库系统工程师或网络工程师，每提供一个得2.5分，同一证书不累计分数，最多得5分；</w:t>
            </w:r>
          </w:p>
          <w:p>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注：以上同一人员同时具有多个证书的，不累计得分。</w:t>
            </w:r>
          </w:p>
        </w:tc>
        <w:tc>
          <w:tcPr>
            <w:tcW w:w="1961" w:type="dxa"/>
            <w:vMerge w:val="continue"/>
            <w:vAlign w:val="center"/>
          </w:tcPr>
          <w:p>
            <w:pPr>
              <w:pStyle w:val="15"/>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p>
        </w:tc>
      </w:tr>
      <w:bookmarkEnd w:id="101"/>
      <w:bookmarkEnd w:id="102"/>
    </w:tbl>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03" w:name="_Toc5626"/>
      <w:r>
        <w:rPr>
          <w:rFonts w:hint="eastAsia" w:asciiTheme="minorEastAsia" w:hAnsiTheme="minorEastAsia" w:eastAsiaTheme="minorEastAsia" w:cstheme="minorEastAsia"/>
          <w:color w:val="auto"/>
          <w:sz w:val="24"/>
          <w:highlight w:val="none"/>
        </w:rPr>
        <w:t>三、无效响应</w:t>
      </w:r>
      <w:bookmarkEnd w:id="103"/>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（二）供应商的法定代表人（或其授权代表）或自然人未参加磋商；</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w:t>
      </w:r>
      <w:r>
        <w:rPr>
          <w:rFonts w:hint="eastAsia" w:asciiTheme="minorEastAsia" w:hAnsiTheme="minorEastAsia" w:eastAsiaTheme="minorEastAsia" w:cstheme="minorEastAsia"/>
          <w:color w:val="auto"/>
          <w:sz w:val="24"/>
          <w:szCs w:val="24"/>
          <w:highlight w:val="none"/>
          <w:lang w:eastAsia="zh-CN"/>
        </w:rPr>
        <w:t>第六篇响应文件编制要求</w:t>
      </w:r>
      <w:r>
        <w:rPr>
          <w:rFonts w:hint="eastAsia" w:asciiTheme="minorEastAsia" w:hAnsiTheme="minorEastAsia" w:eastAsiaTheme="minorEastAsia" w:cstheme="minorEastAsia"/>
          <w:color w:val="auto"/>
          <w:sz w:val="24"/>
          <w:szCs w:val="24"/>
          <w:highlight w:val="none"/>
        </w:rPr>
        <w:t>”要求签署或盖章；</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（四）供应商的最后报价超过采购预算或最高限价的；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（五）法定代表人为同一个人的两个及两个以上法人，母公司、全资子公司及其控股公司，在同一包采购中同时参与磋商；</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（六）单位负责人为同一人或者存在直接控股、管理关系的不同供应商，参加同一合同项下的</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活动的；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（七）为采购项目提供整体设计、规范编制或者项目管理、监理、检测等服务的供应商，再参加该采购项目的其他采购活动；</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（八）供应商磋商有效期不满足竞争性磋商文件要求的；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（九）供应商响应文件内容有与国家现行法律法规相违背的内容，或附有采购人无法接受的条件；</w:t>
      </w:r>
    </w:p>
    <w:p>
      <w:pPr>
        <w:snapToGrid w:val="0"/>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（十）未按照磋商文件的规定缴纳保证金的；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（十一）法律、法规和竞争性磋商文件规定的其他无效情形。</w:t>
      </w:r>
    </w:p>
    <w:bookmarkEnd w:id="96"/>
    <w:bookmarkEnd w:id="97"/>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04" w:name="_Toc76462336"/>
      <w:bookmarkEnd w:id="104"/>
      <w:bookmarkStart w:id="105" w:name="_Toc21054"/>
      <w:bookmarkEnd w:id="105"/>
      <w:bookmarkStart w:id="106" w:name="_Toc106030891"/>
      <w:bookmarkEnd w:id="106"/>
      <w:bookmarkStart w:id="107" w:name="_Toc2607"/>
      <w:r>
        <w:rPr>
          <w:rFonts w:hint="eastAsia" w:asciiTheme="minorEastAsia" w:hAnsiTheme="minorEastAsia" w:eastAsiaTheme="minorEastAsia" w:cstheme="minorEastAsia"/>
          <w:color w:val="auto"/>
          <w:sz w:val="24"/>
          <w:highlight w:val="none"/>
        </w:rPr>
        <w:t>四、采购终止</w:t>
      </w:r>
      <w:bookmarkEnd w:id="107"/>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出现下列情形之一的，采购人或者采购代理机构应当终止竞争性磋商采购活动，发布项目终止公告并说明原因，重新开展采购活动：</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（一）因情况变化，不再符合规定的竞争性磋商采购方式适用情形的；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（三）通过资格性及符合性审查的供应商不足</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家的。</w:t>
      </w:r>
    </w:p>
    <w:p>
      <w:pPr>
        <w:pStyle w:val="4"/>
        <w:rPr>
          <w:rFonts w:hint="eastAsia" w:asciiTheme="minorEastAsia" w:hAnsiTheme="minorEastAsia" w:eastAsiaTheme="minorEastAsia" w:cstheme="minorEastAsia"/>
          <w:color w:val="auto"/>
          <w:highlight w:val="none"/>
        </w:rPr>
      </w:pPr>
    </w:p>
    <w:p>
      <w:pPr>
        <w:pStyle w:val="3"/>
        <w:pageBreakBefore/>
        <w:spacing w:before="0" w:after="0" w:line="360" w:lineRule="auto"/>
        <w:jc w:val="center"/>
        <w:rPr>
          <w:rFonts w:hint="eastAsia" w:asciiTheme="minorEastAsia" w:hAnsiTheme="minorEastAsia" w:eastAsiaTheme="minorEastAsia" w:cstheme="minorEastAsia"/>
          <w:b/>
          <w:bCs w:val="0"/>
          <w:color w:val="auto"/>
          <w:sz w:val="36"/>
          <w:szCs w:val="30"/>
          <w:highlight w:val="none"/>
        </w:rPr>
      </w:pPr>
      <w:bookmarkStart w:id="108" w:name="_Toc106030892"/>
      <w:bookmarkEnd w:id="108"/>
      <w:bookmarkStart w:id="109" w:name="_Toc76462337"/>
      <w:bookmarkEnd w:id="109"/>
      <w:bookmarkStart w:id="110" w:name="_Toc102227313"/>
      <w:bookmarkEnd w:id="110"/>
      <w:bookmarkStart w:id="111" w:name="_Toc32240"/>
      <w:bookmarkEnd w:id="111"/>
      <w:bookmarkStart w:id="112" w:name="_Toc28436"/>
      <w:r>
        <w:rPr>
          <w:rFonts w:hint="eastAsia" w:asciiTheme="minorEastAsia" w:hAnsiTheme="minorEastAsia" w:eastAsiaTheme="minorEastAsia" w:cstheme="minorEastAsia"/>
          <w:b/>
          <w:bCs w:val="0"/>
          <w:color w:val="auto"/>
          <w:sz w:val="36"/>
          <w:szCs w:val="30"/>
          <w:highlight w:val="none"/>
        </w:rPr>
        <w:t>第五篇  供应商须知</w:t>
      </w:r>
      <w:bookmarkEnd w:id="112"/>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13" w:name="_Toc106030893"/>
      <w:bookmarkEnd w:id="113"/>
      <w:bookmarkStart w:id="114" w:name="_Toc76462338"/>
      <w:bookmarkEnd w:id="114"/>
      <w:bookmarkStart w:id="115" w:name="_Toc11013"/>
      <w:bookmarkEnd w:id="115"/>
      <w:bookmarkStart w:id="116" w:name="_Toc342913389"/>
      <w:bookmarkEnd w:id="116"/>
      <w:bookmarkStart w:id="117" w:name="_Toc23112"/>
      <w:r>
        <w:rPr>
          <w:rFonts w:hint="eastAsia" w:asciiTheme="minorEastAsia" w:hAnsiTheme="minorEastAsia" w:eastAsiaTheme="minorEastAsia" w:cstheme="minorEastAsia"/>
          <w:color w:val="auto"/>
          <w:sz w:val="24"/>
          <w:highlight w:val="none"/>
        </w:rPr>
        <w:t>一、磋商费用</w:t>
      </w:r>
      <w:bookmarkEnd w:id="117"/>
    </w:p>
    <w:p>
      <w:pPr>
        <w:pStyle w:val="14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18" w:name="_Toc11832"/>
      <w:bookmarkEnd w:id="118"/>
      <w:bookmarkStart w:id="119" w:name="_Toc106030894"/>
      <w:bookmarkEnd w:id="119"/>
      <w:bookmarkStart w:id="120" w:name="_Toc76462339"/>
      <w:bookmarkEnd w:id="120"/>
      <w:bookmarkStart w:id="121" w:name="_Toc342913391"/>
      <w:bookmarkEnd w:id="121"/>
      <w:bookmarkStart w:id="122" w:name="_Toc28598"/>
      <w:r>
        <w:rPr>
          <w:rFonts w:hint="eastAsia" w:asciiTheme="minorEastAsia" w:hAnsiTheme="minorEastAsia" w:eastAsiaTheme="minorEastAsia" w:cstheme="minorEastAsia"/>
          <w:color w:val="auto"/>
          <w:sz w:val="24"/>
          <w:highlight w:val="none"/>
        </w:rPr>
        <w:t>二、竞争性磋商文件</w:t>
      </w:r>
      <w:bookmarkEnd w:id="122"/>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（一）竞争性磋商文件由采购邀请书、项目服务需求、供应商须知、项目商务需求、磋商程序及方法、评审标准、无效响应和采购终止、供应商须知</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响应文件编制要求</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部分组成。</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（二）采购人（或采购代理机构）所作的一切有效的书面通知、修改及补充，都是竞争性磋商文件不可分割的部分。</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（三）竞争性磋商文件的解释</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磋商文件有疑问，以电话形式在提交响应文件截止时间1个工作日前向采购人（或采购代理机构）咨询。如供应商未提出疑问，视为完全理解并同意本竞争性磋商文件。一经进入磋商程序，即视为供应商已详细阅读全部文件资料，完全理解竞争性磋商文件所有条款内容并同意放弃对这方面有不明白及误解的权利。</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（四）本竞争性磋商文件中，磋商小组根据与供应商进行磋商可能实质性变动的内容为竞争性磋商文件第二、三、六篇全部内容。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（五）评审的依据为竞争性磋商文件和响应文件（含有效的书面承诺）。磋商小组判断响应文件对竞争性磋商文件的响应，仅基于响应文件本身而不靠外部证据。</w:t>
      </w: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23" w:name="_Toc342913392"/>
      <w:bookmarkEnd w:id="123"/>
      <w:bookmarkStart w:id="124" w:name="_Toc76462340"/>
      <w:bookmarkEnd w:id="124"/>
      <w:bookmarkStart w:id="125" w:name="_Toc179714297"/>
      <w:bookmarkEnd w:id="125"/>
      <w:bookmarkStart w:id="126" w:name="_Toc102227318"/>
      <w:bookmarkEnd w:id="126"/>
      <w:bookmarkStart w:id="127" w:name="_Toc106030895"/>
      <w:bookmarkEnd w:id="127"/>
      <w:bookmarkStart w:id="128" w:name="_Toc29817"/>
      <w:bookmarkEnd w:id="128"/>
      <w:bookmarkStart w:id="129" w:name="_Toc31800"/>
      <w:r>
        <w:rPr>
          <w:rFonts w:hint="eastAsia" w:asciiTheme="minorEastAsia" w:hAnsiTheme="minorEastAsia" w:eastAsiaTheme="minorEastAsia" w:cstheme="minorEastAsia"/>
          <w:color w:val="auto"/>
          <w:sz w:val="24"/>
          <w:highlight w:val="none"/>
        </w:rPr>
        <w:t>三、磋商要求</w:t>
      </w:r>
      <w:bookmarkEnd w:id="129"/>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w:t>
      </w:r>
      <w:r>
        <w:rPr>
          <w:rFonts w:hint="eastAsia" w:asciiTheme="minorEastAsia" w:hAnsiTheme="minorEastAsia" w:eastAsiaTheme="minorEastAsia" w:cstheme="minorEastAsia"/>
          <w:color w:val="auto"/>
          <w:sz w:val="24"/>
          <w:szCs w:val="24"/>
          <w:highlight w:val="none"/>
          <w:lang w:eastAsia="zh-CN"/>
        </w:rPr>
        <w:t>第六篇响应文件编制要求</w:t>
      </w:r>
      <w:r>
        <w:rPr>
          <w:rFonts w:hint="eastAsia" w:asciiTheme="minorEastAsia" w:hAnsiTheme="minorEastAsia" w:eastAsiaTheme="minorEastAsia" w:cstheme="minorEastAsia"/>
          <w:color w:val="auto"/>
          <w:sz w:val="24"/>
          <w:szCs w:val="24"/>
          <w:highlight w:val="none"/>
        </w:rPr>
        <w:t>”规定的部分和供应商所作的一切有效补充、修改和承诺等文件组成，供应商应按照“</w:t>
      </w:r>
      <w:r>
        <w:rPr>
          <w:rFonts w:hint="eastAsia" w:asciiTheme="minorEastAsia" w:hAnsiTheme="minorEastAsia" w:eastAsiaTheme="minorEastAsia" w:cstheme="minorEastAsia"/>
          <w:color w:val="auto"/>
          <w:sz w:val="24"/>
          <w:szCs w:val="24"/>
          <w:highlight w:val="none"/>
          <w:lang w:eastAsia="zh-CN"/>
        </w:rPr>
        <w:t>第六篇响应文件编制要求</w:t>
      </w:r>
      <w:r>
        <w:rPr>
          <w:rFonts w:hint="eastAsia" w:asciiTheme="minorEastAsia" w:hAnsiTheme="minorEastAsia" w:eastAsiaTheme="minorEastAsia" w:cstheme="minorEastAsia"/>
          <w:color w:val="auto"/>
          <w:sz w:val="24"/>
          <w:szCs w:val="24"/>
          <w:highlight w:val="none"/>
        </w:rPr>
        <w:t>”规定的目录顺序组织编写和装订，也可在基本格式基础上对表格进行扩展，未规定格式的由供应商自定格式。</w:t>
      </w:r>
    </w:p>
    <w:p>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（二）联合体</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本项目不接受联合体</w:t>
      </w:r>
      <w:r>
        <w:rPr>
          <w:rFonts w:hint="eastAsia" w:asciiTheme="minorEastAsia" w:hAnsiTheme="minorEastAsia" w:eastAsiaTheme="minorEastAsia" w:cstheme="minorEastAsia"/>
          <w:b/>
          <w:bCs/>
          <w:color w:val="auto"/>
          <w:sz w:val="24"/>
          <w:szCs w:val="24"/>
          <w:highlight w:val="none"/>
          <w:lang w:eastAsia="zh-CN"/>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（三）磋商有效期：响应文件及有关承诺文件有效期为提交响应文件截止时间起90天。</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（四）修正错误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1.若供应商所递交的响应文件或最后报价中的价格出现大写金额和小写金额不一致的错误，以大写金额修正为准。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（五）提交响应文件的份数和签署</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1.响应文件一式</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份，其中正本一份，副本</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响应文件按竞争性磋商文件“</w:t>
      </w:r>
      <w:r>
        <w:rPr>
          <w:rFonts w:hint="eastAsia" w:asciiTheme="minorEastAsia" w:hAnsiTheme="minorEastAsia" w:eastAsiaTheme="minorEastAsia" w:cstheme="minorEastAsia"/>
          <w:color w:val="auto"/>
          <w:sz w:val="24"/>
          <w:highlight w:val="none"/>
          <w:lang w:eastAsia="zh-CN"/>
        </w:rPr>
        <w:t>第六篇响应文件编制要求</w:t>
      </w:r>
      <w:r>
        <w:rPr>
          <w:rFonts w:hint="eastAsia" w:asciiTheme="minorEastAsia" w:hAnsiTheme="minorEastAsia" w:eastAsiaTheme="minorEastAsia" w:cstheme="minorEastAsia"/>
          <w:color w:val="auto"/>
          <w:sz w:val="24"/>
          <w:highlight w:val="none"/>
        </w:rPr>
        <w:t>”要求签署或盖章。</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（六）响应文件的递交</w:t>
      </w:r>
    </w:p>
    <w:p>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（七）供应商参与人员</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各个供应商应当派1-2名代表参与磋商，至少1人应为法定代表人（或其授权代表）或自然人（供应商为自然人）。</w:t>
      </w: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30" w:name="_Toc76462341"/>
      <w:bookmarkEnd w:id="130"/>
      <w:bookmarkStart w:id="131" w:name="_Toc9369"/>
      <w:bookmarkEnd w:id="131"/>
      <w:bookmarkStart w:id="132" w:name="_Toc106030896"/>
      <w:bookmarkEnd w:id="132"/>
      <w:bookmarkStart w:id="133" w:name="_Toc14972"/>
      <w:r>
        <w:rPr>
          <w:rFonts w:hint="eastAsia" w:asciiTheme="minorEastAsia" w:hAnsiTheme="minorEastAsia" w:eastAsiaTheme="minorEastAsia" w:cstheme="minorEastAsia"/>
          <w:color w:val="auto"/>
          <w:sz w:val="24"/>
          <w:highlight w:val="none"/>
        </w:rPr>
        <w:t>四、成交供应商的确认和变更</w:t>
      </w:r>
      <w:bookmarkEnd w:id="133"/>
    </w:p>
    <w:p>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成交供应商拒绝与采购人签订合同的，采购人可以按照评标报告推荐的成交候选供应商顺序，确定排名下一位的候选人为成交供应商，也可以重新开展采购活动。</w:t>
      </w: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34" w:name="_Toc106030897"/>
      <w:bookmarkEnd w:id="134"/>
      <w:bookmarkStart w:id="135" w:name="_Toc342913395"/>
      <w:bookmarkEnd w:id="135"/>
      <w:bookmarkStart w:id="136" w:name="_Toc29760"/>
      <w:bookmarkEnd w:id="136"/>
      <w:bookmarkStart w:id="137" w:name="_Toc102227321"/>
      <w:bookmarkEnd w:id="137"/>
      <w:bookmarkStart w:id="138" w:name="_Toc76462342"/>
      <w:bookmarkEnd w:id="138"/>
      <w:bookmarkStart w:id="139" w:name="_Toc13763"/>
      <w:r>
        <w:rPr>
          <w:rFonts w:hint="eastAsia" w:asciiTheme="minorEastAsia" w:hAnsiTheme="minorEastAsia" w:eastAsiaTheme="minorEastAsia" w:cstheme="minorEastAsia"/>
          <w:color w:val="auto"/>
          <w:sz w:val="24"/>
          <w:highlight w:val="none"/>
        </w:rPr>
        <w:t>五、成交通知</w:t>
      </w:r>
      <w:bookmarkEnd w:id="139"/>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（一）成交供应商确定后，采购代理机构将在“重庆市行采家”网站（https://www.gec123.com/）上发布成交结果公告。</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（二）结果公告发出同时，采购代理机构将以书面形式发出《成交通知书》。《成交通知书》一经发出即发生法律效力。</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40" w:name="_Toc106030898"/>
      <w:bookmarkEnd w:id="140"/>
      <w:bookmarkStart w:id="141" w:name="_Toc76462343"/>
      <w:bookmarkEnd w:id="141"/>
      <w:bookmarkStart w:id="142" w:name="_Toc27425"/>
      <w:bookmarkEnd w:id="142"/>
      <w:bookmarkStart w:id="143" w:name="_Toc15718"/>
      <w:r>
        <w:rPr>
          <w:rFonts w:hint="eastAsia" w:asciiTheme="minorEastAsia" w:hAnsiTheme="minorEastAsia" w:eastAsiaTheme="minorEastAsia" w:cstheme="minorEastAsia"/>
          <w:color w:val="auto"/>
          <w:sz w:val="24"/>
          <w:highlight w:val="none"/>
        </w:rPr>
        <w:t>六、关于询问</w:t>
      </w:r>
      <w:bookmarkEnd w:id="143"/>
    </w:p>
    <w:p>
      <w:pPr>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（一）询问</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供应商对采购文件、采购过程和成交结果有异议的，可向采购人或采购代理机构以书面形式提出询问。</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提出询问的应当是参与所询问项目采购活动的供应商。 </w:t>
      </w:r>
    </w:p>
    <w:p>
      <w:pPr>
        <w:spacing w:line="400" w:lineRule="exact"/>
        <w:ind w:right="12" w:firstLine="48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1.询问时限、内容</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供应商对采购文件、采购过程、成交结果有异议的，可以在知道或者应知道之日起二个工作日内，以书面形式向采购人、采购代理机构提出询问。</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1.2供应商提出询问应当提交询问函和必要的证明材料，询问函应当包括下列内容：</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1.2.1供应商的姓名或者名称、地址、邮编、联系人及联系电话；</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1.2.2询问项目的名称、项目号以及采购执行编号；</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1.2.3具体、明确的询问事项和与询问事项相关的请求；</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1.2.4事实依据；</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1.2.5必要的法律依据；</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1.2.6提出询问的日期；</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1.2.7营业执照（或事业单位法人证书，或个体工商户营业执照或有效的自然人身份证明）复印件；</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1.3供应商为自然人的，询问函应当由本人签字；供应商为法人或者其他组织的，询问函应当由法定代表人、主要负责人，或者其授权代表签字或者盖章，并加盖公章。</w:t>
      </w:r>
    </w:p>
    <w:p>
      <w:pPr>
        <w:spacing w:line="400" w:lineRule="exact"/>
        <w:ind w:right="12" w:firstLine="48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2.询问答复</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采购人、采购代理机构应当在收到供应商的书面询问后七个工作日内作出答复，采购人、采购代理机构可以请本项目磋商小组或关联供应商协助答复。</w:t>
      </w: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44" w:name="_Toc813"/>
      <w:bookmarkEnd w:id="144"/>
      <w:bookmarkStart w:id="145" w:name="_Toc76462344"/>
      <w:bookmarkEnd w:id="145"/>
      <w:bookmarkStart w:id="146" w:name="_Toc106030899"/>
      <w:bookmarkEnd w:id="146"/>
      <w:bookmarkStart w:id="147" w:name="_Toc9994"/>
      <w:r>
        <w:rPr>
          <w:rFonts w:hint="eastAsia" w:asciiTheme="minorEastAsia" w:hAnsiTheme="minorEastAsia" w:eastAsiaTheme="minorEastAsia" w:cstheme="minorEastAsia"/>
          <w:color w:val="auto"/>
          <w:sz w:val="24"/>
          <w:highlight w:val="none"/>
        </w:rPr>
        <w:t>七、采购代理服务费</w:t>
      </w:r>
      <w:bookmarkEnd w:id="147"/>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供应商成交后向采购代理机构缴纳</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highlight w:val="none"/>
        </w:rPr>
        <w:t>代理服务费，</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highlight w:val="none"/>
        </w:rPr>
        <w:t>代理服务费的收取标准按照以下标准执行:</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（一）成交供应商在领取成交通知书前就先向代理机构支付代理服务费，代理服务费参照【计价格［2002］1980号】文规定的“服务采购”收费标准计取。如计算后不足人民币4000元的按保底金额4000元计取</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 xml:space="preserve"> </w:t>
      </w:r>
    </w:p>
    <w:tbl>
      <w:tblPr>
        <w:tblStyle w:val="57"/>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009"/>
        <w:gridCol w:w="2009"/>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tcBorders>
              <w:tl2br w:val="single" w:color="auto" w:sz="4" w:space="0"/>
            </w:tcBorders>
            <w:vAlign w:val="top"/>
          </w:tcPr>
          <w:p>
            <w:pPr>
              <w:spacing w:line="240" w:lineRule="auto"/>
              <w:ind w:firstLine="1264" w:firstLineChars="6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Xz75g9YAAAAIAQAADwAAAAAAAAABACAAAAA4AAAAZHJzL2Rvd25yZXYueG1sUEsBAhQAFAAA&#10;AAgAh07iQOUuGY/bAQAApQMAAA4AAAAAAAAAAQAgAAAAOw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b/>
                <w:color w:val="auto"/>
                <w:sz w:val="21"/>
                <w:szCs w:val="21"/>
                <w:highlight w:val="none"/>
              </w:rPr>
              <w:t>采购类型</w:t>
            </w:r>
          </w:p>
          <w:p>
            <w:pPr>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成交金额（万元）</w:t>
            </w:r>
          </w:p>
        </w:tc>
        <w:tc>
          <w:tcPr>
            <w:tcW w:w="2009" w:type="dxa"/>
            <w:vAlign w:val="center"/>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货物采购</w:t>
            </w:r>
          </w:p>
        </w:tc>
        <w:tc>
          <w:tcPr>
            <w:tcW w:w="2009" w:type="dxa"/>
            <w:vAlign w:val="center"/>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服务采购</w:t>
            </w:r>
          </w:p>
        </w:tc>
        <w:tc>
          <w:tcPr>
            <w:tcW w:w="2010" w:type="dxa"/>
            <w:vAlign w:val="center"/>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2009"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09"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1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2009"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09"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1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2009"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09"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201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2009"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2009"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201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2009"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2009"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201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10000-100000</w:t>
            </w:r>
          </w:p>
        </w:tc>
        <w:tc>
          <w:tcPr>
            <w:tcW w:w="2009"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2009"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201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1000000以上</w:t>
            </w:r>
          </w:p>
        </w:tc>
        <w:tc>
          <w:tcPr>
            <w:tcW w:w="2009"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0.01%</w:t>
            </w:r>
          </w:p>
        </w:tc>
        <w:tc>
          <w:tcPr>
            <w:tcW w:w="2009"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0.01%</w:t>
            </w:r>
          </w:p>
        </w:tc>
        <w:tc>
          <w:tcPr>
            <w:tcW w:w="201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0.01%</w:t>
            </w:r>
          </w:p>
        </w:tc>
      </w:tr>
    </w:tbl>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注：采购代理服务收费按差额定率累进法计算。例如：某服务采购项目成交金额为500万元，计算采购代理服务收费额如下：</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100万元×1.5%=1.5万元</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（500-100）万元×0.8%=3.2万元</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合计收费=1.5+3.2=4.7（万元）</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（二）服务费以现金、支票或电汇等形式支付。</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成交供应商如未按上述规定缴付采购代理服务费，其保证金将不予退还</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）采购代理服务费缴纳账户信息：</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户  名：重庆</w:t>
      </w:r>
      <w:r>
        <w:rPr>
          <w:rFonts w:hint="eastAsia" w:asciiTheme="minorEastAsia" w:hAnsiTheme="minorEastAsia" w:eastAsiaTheme="minorEastAsia" w:cstheme="minorEastAsia"/>
          <w:color w:val="auto"/>
          <w:sz w:val="24"/>
          <w:highlight w:val="none"/>
          <w:lang w:eastAsia="zh-CN"/>
        </w:rPr>
        <w:t>宏仁</w:t>
      </w:r>
      <w:r>
        <w:rPr>
          <w:rFonts w:hint="eastAsia" w:asciiTheme="minorEastAsia" w:hAnsiTheme="minorEastAsia" w:eastAsiaTheme="minorEastAsia" w:cstheme="minorEastAsia"/>
          <w:color w:val="auto"/>
          <w:sz w:val="24"/>
          <w:highlight w:val="none"/>
        </w:rPr>
        <w:t>招标代理有限公司</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开户行：招商银行重庆分行总部城支行</w:t>
      </w:r>
    </w:p>
    <w:p>
      <w:pPr>
        <w:spacing w:line="400" w:lineRule="exact"/>
        <w:ind w:right="12" w:firstLine="48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账  号：</w:t>
      </w:r>
      <w:r>
        <w:rPr>
          <w:rFonts w:hint="eastAsia" w:asciiTheme="minorEastAsia" w:hAnsiTheme="minorEastAsia" w:eastAsiaTheme="minorEastAsia" w:cstheme="minorEastAsia"/>
          <w:color w:val="auto"/>
          <w:sz w:val="24"/>
          <w:highlight w:val="none"/>
          <w:lang w:eastAsia="zh-CN"/>
        </w:rPr>
        <w:t>123907228910802</w:t>
      </w: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48" w:name="_Toc76462346"/>
      <w:bookmarkEnd w:id="148"/>
      <w:bookmarkStart w:id="149" w:name="_Toc30259"/>
      <w:bookmarkEnd w:id="149"/>
      <w:bookmarkStart w:id="150" w:name="_Toc342913396"/>
      <w:bookmarkEnd w:id="150"/>
      <w:bookmarkStart w:id="151" w:name="_Toc106030901"/>
      <w:bookmarkEnd w:id="151"/>
      <w:bookmarkStart w:id="152" w:name="_Toc102227322"/>
      <w:bookmarkEnd w:id="152"/>
      <w:bookmarkStart w:id="153" w:name="_Toc25000"/>
      <w:bookmarkStart w:id="154" w:name="_Toc12789059"/>
      <w:bookmarkStart w:id="155" w:name="_Toc11641055"/>
      <w:r>
        <w:rPr>
          <w:rFonts w:hint="eastAsia" w:asciiTheme="minorEastAsia" w:hAnsiTheme="minorEastAsia" w:eastAsiaTheme="minorEastAsia" w:cstheme="minorEastAsia"/>
          <w:color w:val="auto"/>
          <w:sz w:val="24"/>
          <w:highlight w:val="none"/>
          <w:lang w:val="en-US" w:eastAsia="zh-CN"/>
        </w:rPr>
        <w:t>八</w:t>
      </w:r>
      <w:r>
        <w:rPr>
          <w:rFonts w:hint="eastAsia" w:asciiTheme="minorEastAsia" w:hAnsiTheme="minorEastAsia" w:eastAsiaTheme="minorEastAsia" w:cstheme="minorEastAsia"/>
          <w:color w:val="auto"/>
          <w:sz w:val="24"/>
          <w:highlight w:val="none"/>
        </w:rPr>
        <w:t>、签订合同</w:t>
      </w:r>
      <w:bookmarkEnd w:id="153"/>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rPr>
        <w:t>采购人原则上应在成交通知书发出之日起二十日内和成交供应商签订采购合同，无正当理由不得拒绝或拖延合同签订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。所签订的合同不得对竞争性磋商文件和供应商的响应文件作实质性修改。其他未尽事宜由采购人和成交供应商在采购合同中详细约定。</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（二）竞争性磋商文件、供应商的响应文件及澄清文件等，均为签订采购合同的依据。</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（四）采购人要求成交供应商提供履约保证金的，应当在竞争性磋商文件中予以约定。成交供应商履约完毕后，采购人根据采购文件规定无息退还其履约保证金。</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156" w:name="_Toc16198"/>
      <w:bookmarkEnd w:id="156"/>
      <w:bookmarkStart w:id="157" w:name="_Toc106030902"/>
      <w:bookmarkEnd w:id="157"/>
    </w:p>
    <w:bookmarkEnd w:id="154"/>
    <w:bookmarkEnd w:id="155"/>
    <w:p>
      <w:pPr>
        <w:pStyle w:val="3"/>
        <w:spacing w:before="0" w:after="0" w:line="360" w:lineRule="auto"/>
        <w:jc w:val="center"/>
        <w:rPr>
          <w:rFonts w:hint="eastAsia" w:asciiTheme="minorEastAsia" w:hAnsiTheme="minorEastAsia" w:eastAsiaTheme="minorEastAsia" w:cstheme="minorEastAsia"/>
          <w:b/>
          <w:bCs/>
          <w:color w:val="auto"/>
          <w:sz w:val="36"/>
          <w:szCs w:val="30"/>
          <w:highlight w:val="none"/>
        </w:rPr>
      </w:pPr>
      <w:bookmarkStart w:id="158" w:name="_Hlt41879464"/>
      <w:bookmarkEnd w:id="158"/>
      <w:bookmarkStart w:id="159" w:name="_Toc106030905"/>
      <w:bookmarkEnd w:id="159"/>
      <w:bookmarkStart w:id="160" w:name="_Toc22065"/>
      <w:bookmarkEnd w:id="160"/>
      <w:bookmarkStart w:id="161" w:name="_Toc76462349"/>
      <w:bookmarkEnd w:id="161"/>
      <w:r>
        <w:rPr>
          <w:rFonts w:hint="eastAsia" w:asciiTheme="minorEastAsia" w:hAnsiTheme="minorEastAsia" w:eastAsiaTheme="minorEastAsia" w:cstheme="minorEastAsia"/>
          <w:color w:val="auto"/>
          <w:sz w:val="36"/>
          <w:szCs w:val="30"/>
          <w:highlight w:val="none"/>
        </w:rPr>
        <w:br w:type="page"/>
      </w:r>
      <w:bookmarkStart w:id="162" w:name="_Toc8096"/>
      <w:r>
        <w:rPr>
          <w:rFonts w:hint="eastAsia" w:asciiTheme="minorEastAsia" w:hAnsiTheme="minorEastAsia" w:eastAsiaTheme="minorEastAsia" w:cstheme="minorEastAsia"/>
          <w:b/>
          <w:bCs/>
          <w:color w:val="auto"/>
          <w:sz w:val="36"/>
          <w:szCs w:val="30"/>
          <w:highlight w:val="none"/>
        </w:rPr>
        <w:t>第六篇  响应文件编制要求</w:t>
      </w:r>
      <w:bookmarkEnd w:id="162"/>
    </w:p>
    <w:p>
      <w:pPr>
        <w:spacing w:line="400" w:lineRule="exact"/>
        <w:ind w:firstLine="481"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pPr>
        <w:spacing w:line="400" w:lineRule="exact"/>
        <w:ind w:firstLine="481"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二、服务部分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w:t>
      </w:r>
      <w:r>
        <w:rPr>
          <w:rFonts w:hint="eastAsia" w:asciiTheme="minorEastAsia" w:hAnsiTheme="minorEastAsia" w:eastAsiaTheme="minorEastAsia" w:cstheme="minorEastAsia"/>
          <w:color w:val="auto"/>
          <w:sz w:val="24"/>
          <w:szCs w:val="24"/>
          <w:highlight w:val="none"/>
          <w:lang w:val="en-US" w:eastAsia="zh-CN"/>
        </w:rPr>
        <w:t>条款</w:t>
      </w:r>
      <w:r>
        <w:rPr>
          <w:rFonts w:hint="eastAsia" w:asciiTheme="minorEastAsia" w:hAnsiTheme="minorEastAsia" w:eastAsiaTheme="minorEastAsia" w:cstheme="minorEastAsia"/>
          <w:color w:val="auto"/>
          <w:sz w:val="24"/>
          <w:szCs w:val="24"/>
          <w:highlight w:val="none"/>
        </w:rPr>
        <w:t>响应</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书面方案</w:t>
      </w:r>
      <w:r>
        <w:rPr>
          <w:rFonts w:hint="eastAsia" w:asciiTheme="minorEastAsia" w:hAnsiTheme="minorEastAsia" w:eastAsiaTheme="minorEastAsia" w:cstheme="minorEastAsia"/>
          <w:color w:val="auto"/>
          <w:sz w:val="24"/>
          <w:szCs w:val="24"/>
          <w:highlight w:val="none"/>
        </w:rPr>
        <w:t>（格式</w:t>
      </w:r>
      <w:r>
        <w:rPr>
          <w:rFonts w:hint="eastAsia" w:asciiTheme="minorEastAsia" w:hAnsiTheme="minorEastAsia" w:eastAsiaTheme="minorEastAsia" w:cstheme="minorEastAsia"/>
          <w:color w:val="auto"/>
          <w:sz w:val="24"/>
          <w:szCs w:val="24"/>
          <w:highlight w:val="none"/>
          <w:lang w:val="en-US" w:eastAsia="zh-CN"/>
        </w:rPr>
        <w:t>自拟</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其他服务部分评审资料（自附）</w:t>
      </w:r>
    </w:p>
    <w:p>
      <w:pPr>
        <w:spacing w:line="400" w:lineRule="exact"/>
        <w:ind w:firstLine="481"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w:t>
      </w:r>
      <w:r>
        <w:rPr>
          <w:rFonts w:hint="eastAsia" w:asciiTheme="minorEastAsia" w:hAnsiTheme="minorEastAsia" w:eastAsiaTheme="minorEastAsia" w:cstheme="minorEastAsia"/>
          <w:color w:val="auto"/>
          <w:sz w:val="24"/>
          <w:szCs w:val="24"/>
          <w:highlight w:val="none"/>
          <w:lang w:val="en-US" w:eastAsia="zh-CN"/>
        </w:rPr>
        <w:t>他</w:t>
      </w:r>
      <w:r>
        <w:rPr>
          <w:rFonts w:hint="eastAsia" w:asciiTheme="minorEastAsia" w:hAnsiTheme="minorEastAsia" w:eastAsiaTheme="minorEastAsia" w:cstheme="minorEastAsia"/>
          <w:color w:val="auto"/>
          <w:sz w:val="24"/>
          <w:szCs w:val="24"/>
          <w:highlight w:val="none"/>
        </w:rPr>
        <w:t>商务评审资料（</w:t>
      </w:r>
      <w:r>
        <w:rPr>
          <w:rFonts w:hint="eastAsia" w:asciiTheme="minorEastAsia" w:hAnsiTheme="minorEastAsia" w:eastAsiaTheme="minorEastAsia" w:cstheme="minorEastAsia"/>
          <w:color w:val="auto"/>
          <w:sz w:val="24"/>
          <w:szCs w:val="24"/>
          <w:highlight w:val="none"/>
          <w:lang w:val="en-US" w:eastAsia="zh-CN"/>
        </w:rPr>
        <w:t>自附</w:t>
      </w:r>
      <w:r>
        <w:rPr>
          <w:rFonts w:hint="eastAsia" w:asciiTheme="minorEastAsia" w:hAnsiTheme="minorEastAsia" w:eastAsiaTheme="minorEastAsia" w:cstheme="minorEastAsia"/>
          <w:color w:val="auto"/>
          <w:sz w:val="24"/>
          <w:szCs w:val="24"/>
          <w:highlight w:val="none"/>
        </w:rPr>
        <w:t>）</w:t>
      </w:r>
    </w:p>
    <w:p>
      <w:pPr>
        <w:spacing w:line="400" w:lineRule="exact"/>
        <w:ind w:firstLine="481"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四、资格条件及其他</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w:t>
      </w:r>
      <w:r>
        <w:rPr>
          <w:rFonts w:hint="eastAsia" w:asciiTheme="minorEastAsia" w:hAnsiTheme="minorEastAsia" w:eastAsiaTheme="minorEastAsia" w:cstheme="minorEastAsia"/>
          <w:color w:val="auto"/>
          <w:sz w:val="24"/>
          <w:szCs w:val="24"/>
          <w:highlight w:val="none"/>
          <w:lang w:val="en-US" w:eastAsia="zh-CN"/>
        </w:rPr>
        <w:t>分公司（</w:t>
      </w:r>
      <w:r>
        <w:rPr>
          <w:rFonts w:hint="eastAsia" w:asciiTheme="minorEastAsia" w:hAnsiTheme="minorEastAsia" w:eastAsiaTheme="minorEastAsia" w:cstheme="minorEastAsia"/>
          <w:color w:val="auto"/>
          <w:sz w:val="24"/>
          <w:szCs w:val="24"/>
          <w:highlight w:val="none"/>
        </w:rPr>
        <w:t>分支机构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营业执照或事业单位法人证书（副本）或个体工商户营业执照或有效的自然人身份证明或社会团体法人登记证书复印件</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w:t>
      </w:r>
      <w:r>
        <w:rPr>
          <w:rFonts w:hint="eastAsia" w:asciiTheme="minorEastAsia" w:hAnsiTheme="minorEastAsia" w:eastAsiaTheme="minorEastAsia" w:cstheme="minorEastAsia"/>
          <w:color w:val="auto"/>
          <w:sz w:val="24"/>
          <w:szCs w:val="24"/>
          <w:highlight w:val="none"/>
          <w:lang w:val="en-US" w:eastAsia="zh-CN"/>
        </w:rPr>
        <w:t>或负责人</w:t>
      </w:r>
      <w:r>
        <w:rPr>
          <w:rFonts w:hint="eastAsia" w:asciiTheme="minorEastAsia" w:hAnsiTheme="minorEastAsia" w:eastAsiaTheme="minorEastAsia" w:cstheme="minorEastAsia"/>
          <w:color w:val="auto"/>
          <w:sz w:val="24"/>
          <w:szCs w:val="24"/>
          <w:highlight w:val="none"/>
        </w:rPr>
        <w:t>身份证明书（格式）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w:t>
      </w:r>
      <w:r>
        <w:rPr>
          <w:rFonts w:hint="eastAsia" w:asciiTheme="minorEastAsia" w:hAnsiTheme="minorEastAsia" w:eastAsiaTheme="minorEastAsia" w:cstheme="minorEastAsia"/>
          <w:color w:val="auto"/>
          <w:sz w:val="24"/>
          <w:szCs w:val="24"/>
          <w:highlight w:val="none"/>
          <w:lang w:val="en-US" w:eastAsia="zh-CN"/>
        </w:rPr>
        <w:t>或负责人</w:t>
      </w:r>
      <w:r>
        <w:rPr>
          <w:rFonts w:hint="eastAsia" w:asciiTheme="minorEastAsia" w:hAnsiTheme="minorEastAsia" w:eastAsiaTheme="minorEastAsia" w:cstheme="minorEastAsia"/>
          <w:color w:val="auto"/>
          <w:sz w:val="24"/>
          <w:szCs w:val="24"/>
          <w:highlight w:val="none"/>
        </w:rPr>
        <w:t>授权委托书（格式）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（五）特定资格条件证书或证明文件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如果有</w:t>
      </w:r>
      <w:r>
        <w:rPr>
          <w:rFonts w:hint="eastAsia" w:asciiTheme="minorEastAsia" w:hAnsiTheme="minorEastAsia" w:eastAsiaTheme="minorEastAsia" w:cstheme="minorEastAsia"/>
          <w:color w:val="auto"/>
          <w:sz w:val="24"/>
          <w:szCs w:val="24"/>
          <w:highlight w:val="none"/>
          <w:lang w:eastAsia="zh-CN"/>
        </w:rPr>
        <w:t>）</w:t>
      </w:r>
    </w:p>
    <w:p>
      <w:pPr>
        <w:spacing w:line="400" w:lineRule="exact"/>
        <w:ind w:firstLine="481"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五、其他资料</w:t>
      </w:r>
    </w:p>
    <w:p>
      <w:pPr>
        <w:snapToGrid w:val="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sectPr>
          <w:footerReference r:id="rId10" w:type="default"/>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63" w:name="_Toc76462350"/>
      <w:bookmarkEnd w:id="163"/>
      <w:bookmarkStart w:id="164" w:name="_Toc342913419"/>
      <w:bookmarkEnd w:id="164"/>
      <w:bookmarkStart w:id="165" w:name="_Toc106030906"/>
      <w:bookmarkEnd w:id="165"/>
      <w:bookmarkStart w:id="166" w:name="_Toc11543"/>
      <w:bookmarkEnd w:id="166"/>
      <w:bookmarkStart w:id="167" w:name="_Toc313888360"/>
      <w:bookmarkEnd w:id="167"/>
      <w:bookmarkStart w:id="168" w:name="_Toc313008356"/>
      <w:bookmarkEnd w:id="168"/>
      <w:bookmarkStart w:id="169" w:name="_Toc24308"/>
      <w:r>
        <w:rPr>
          <w:rFonts w:hint="eastAsia" w:asciiTheme="minorEastAsia" w:hAnsiTheme="minorEastAsia" w:eastAsiaTheme="minorEastAsia" w:cstheme="minorEastAsia"/>
          <w:color w:val="auto"/>
          <w:sz w:val="24"/>
          <w:highlight w:val="none"/>
        </w:rPr>
        <w:t>一、经济部分</w:t>
      </w:r>
      <w:bookmarkEnd w:id="169"/>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竞争性磋商报价函</w:t>
      </w:r>
    </w:p>
    <w:p>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（磋商项目名称）的竞争性磋商文件，经详细研究，决定参加该项目的磋商。</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1.愿意按照竞争性磋商文件中的一切要求，提供本项目的</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服务，初始报价为人民币大写：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元整；人民币小写：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元。以我公司最后报价为准。</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份，电子文档</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3.我方承诺：本次磋商的有效期为提交响应文件截止时间起90天。</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4.我方完全理解和接受贵方竞争性磋商文件的一切规定和要求及评审办法。</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5.在整个竞争性磋商过程中，我方若有违规行为，接受参照《</w:t>
      </w:r>
      <w:r>
        <w:rPr>
          <w:rFonts w:hint="eastAsia" w:asciiTheme="minorEastAsia" w:hAnsiTheme="minorEastAsia" w:eastAsiaTheme="minorEastAsia" w:cstheme="minorEastAsia"/>
          <w:color w:val="auto"/>
          <w:sz w:val="24"/>
          <w:szCs w:val="24"/>
          <w:highlight w:val="none"/>
          <w:lang w:eastAsia="zh-CN"/>
        </w:rPr>
        <w:t>中华人民共和国政府采购法</w:t>
      </w:r>
      <w:r>
        <w:rPr>
          <w:rFonts w:hint="eastAsia" w:asciiTheme="minorEastAsia" w:hAnsiTheme="minorEastAsia" w:eastAsiaTheme="minorEastAsia" w:cstheme="minorEastAsia"/>
          <w:color w:val="auto"/>
          <w:sz w:val="24"/>
          <w:szCs w:val="24"/>
          <w:highlight w:val="none"/>
        </w:rPr>
        <w:t>》和本项目《竞争性磋商文件》之规定给予惩罚。</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6.我方若成为成交供应商，将按照最终磋商结果签订合同，并且严格履行合同义务。本承诺函将成为合同不可分割的一部分，与合同具有同等的法律效力。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7.如果我方成为成交供应商，保证在接到成交通知书</w:t>
      </w:r>
      <w:r>
        <w:rPr>
          <w:rFonts w:hint="eastAsia" w:asciiTheme="minorEastAsia" w:hAnsiTheme="minorEastAsia" w:eastAsiaTheme="minorEastAsia" w:cstheme="minorEastAsia"/>
          <w:color w:val="auto"/>
          <w:sz w:val="24"/>
          <w:szCs w:val="24"/>
          <w:highlight w:val="none"/>
          <w:lang w:val="en-US" w:eastAsia="zh-CN"/>
        </w:rPr>
        <w:t>前</w:t>
      </w:r>
      <w:r>
        <w:rPr>
          <w:rFonts w:hint="eastAsia" w:asciiTheme="minorEastAsia" w:hAnsiTheme="minorEastAsia" w:eastAsiaTheme="minorEastAsia" w:cstheme="minorEastAsia"/>
          <w:color w:val="auto"/>
          <w:sz w:val="24"/>
          <w:szCs w:val="24"/>
          <w:highlight w:val="none"/>
        </w:rPr>
        <w:t>，向采购代理机构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竞争性磋商文件规定的采购代理服务费。</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名称</w:t>
      </w:r>
      <w:r>
        <w:rPr>
          <w:rFonts w:hint="eastAsia" w:asciiTheme="minorEastAsia" w:hAnsiTheme="minorEastAsia" w:eastAsiaTheme="minorEastAsia" w:cstheme="minorEastAsia"/>
          <w:color w:val="auto"/>
          <w:sz w:val="24"/>
          <w:szCs w:val="24"/>
          <w:highlight w:val="none"/>
        </w:rPr>
        <w:t>（公章）：</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Theme="minorEastAsia" w:hAnsiTheme="minorEastAsia" w:eastAsiaTheme="minorEastAsia" w:cstheme="minorEastAsia"/>
          <w:color w:val="auto"/>
          <w:sz w:val="24"/>
          <w:szCs w:val="24"/>
          <w:highlight w:val="none"/>
        </w:rPr>
        <w:t xml:space="preserve">                                                  年   月   日</w:t>
      </w:r>
    </w:p>
    <w:p>
      <w:pPr>
        <w:tabs>
          <w:tab w:val="left" w:pos="289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编</w:t>
      </w:r>
      <w:r>
        <w:rPr>
          <w:rFonts w:hint="eastAsia" w:asciiTheme="minorEastAsia" w:hAnsiTheme="minorEastAsia" w:eastAsiaTheme="minorEastAsia" w:cstheme="minorEastAsia"/>
          <w:color w:val="auto"/>
          <w:sz w:val="24"/>
          <w:szCs w:val="24"/>
          <w:highlight w:val="none"/>
        </w:rPr>
        <w:t xml:space="preserve">号：                              </w:t>
      </w:r>
    </w:p>
    <w:p>
      <w:pPr>
        <w:pStyle w:val="2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项目名称：</w:t>
      </w:r>
    </w:p>
    <w:tbl>
      <w:tblPr>
        <w:tblStyle w:val="57"/>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557"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名称</w:t>
            </w:r>
          </w:p>
        </w:tc>
        <w:tc>
          <w:tcPr>
            <w:tcW w:w="3127"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相关信息</w:t>
            </w:r>
          </w:p>
        </w:tc>
        <w:tc>
          <w:tcPr>
            <w:tcW w:w="1235"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数量/单位</w:t>
            </w:r>
          </w:p>
        </w:tc>
        <w:tc>
          <w:tcPr>
            <w:tcW w:w="1235" w:type="dxa"/>
            <w:vAlign w:val="center"/>
          </w:tcPr>
          <w:p>
            <w:pPr>
              <w:jc w:val="center"/>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单价</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元）</w:t>
            </w:r>
          </w:p>
        </w:tc>
        <w:tc>
          <w:tcPr>
            <w:tcW w:w="1235" w:type="dxa"/>
            <w:vAlign w:val="center"/>
          </w:tcPr>
          <w:p>
            <w:pPr>
              <w:jc w:val="center"/>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合计</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其他费用</w:t>
            </w: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总计</w:t>
            </w:r>
          </w:p>
        </w:tc>
        <w:tc>
          <w:tcPr>
            <w:tcW w:w="6832" w:type="dxa"/>
            <w:gridSpan w:val="4"/>
          </w:tcPr>
          <w:p>
            <w:pPr>
              <w:rPr>
                <w:rFonts w:hint="eastAsia" w:asciiTheme="minorEastAsia" w:hAnsiTheme="minorEastAsia" w:eastAsiaTheme="minorEastAsia" w:cstheme="minorEastAsia"/>
                <w:color w:val="auto"/>
                <w:sz w:val="21"/>
                <w:szCs w:val="21"/>
                <w:highlight w:val="none"/>
              </w:rPr>
            </w:pPr>
          </w:p>
        </w:tc>
      </w:tr>
    </w:tbl>
    <w:p>
      <w:pPr>
        <w:snapToGrid w:val="0"/>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注：1.供应商应完整填写本表。</w:t>
      </w:r>
    </w:p>
    <w:p>
      <w:pPr>
        <w:snapToGrid w:val="0"/>
        <w:spacing w:line="500" w:lineRule="exact"/>
        <w:rPr>
          <w:rFonts w:hint="eastAsia" w:asciiTheme="minorEastAsia" w:hAnsiTheme="minorEastAsia" w:eastAsiaTheme="minorEastAsia" w:cstheme="minorEastAsia"/>
          <w:color w:val="auto"/>
          <w:sz w:val="24"/>
          <w:szCs w:val="24"/>
          <w:highlight w:val="none"/>
        </w:rPr>
      </w:pPr>
      <w:bookmarkStart w:id="170" w:name="OLE_LINK1"/>
      <w:bookmarkEnd w:id="170"/>
      <w:bookmarkStart w:id="171" w:name="OLE_LINK2"/>
      <w:bookmarkEnd w:id="171"/>
      <w:r>
        <w:rPr>
          <w:rFonts w:hint="eastAsia" w:asciiTheme="minorEastAsia" w:hAnsiTheme="minorEastAsia" w:eastAsiaTheme="minorEastAsia" w:cstheme="minorEastAsia"/>
          <w:color w:val="auto"/>
          <w:sz w:val="24"/>
          <w:szCs w:val="28"/>
          <w:highlight w:val="none"/>
        </w:rPr>
        <w:t xml:space="preserve">        2.该表可扩展。</w:t>
      </w:r>
      <w:r>
        <w:rPr>
          <w:rFonts w:hint="eastAsia" w:asciiTheme="minorEastAsia" w:hAnsiTheme="minorEastAsia" w:eastAsiaTheme="minorEastAsia" w:cstheme="minorEastAsia"/>
          <w:color w:val="auto"/>
          <w:sz w:val="24"/>
          <w:szCs w:val="24"/>
          <w:highlight w:val="none"/>
        </w:rPr>
        <w:t xml:space="preserve">            </w:t>
      </w: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 xml:space="preserve">                                             供应商名称（公章）：</w:t>
      </w:r>
    </w:p>
    <w:p>
      <w:pPr>
        <w:spacing w:line="360" w:lineRule="auto"/>
        <w:ind w:right="480" w:firstLine="6480" w:firstLineChars="2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72" w:name="_Toc313008357"/>
      <w:bookmarkEnd w:id="172"/>
      <w:bookmarkStart w:id="173" w:name="_Toc29766"/>
      <w:bookmarkEnd w:id="173"/>
      <w:bookmarkStart w:id="174" w:name="_Toc342913420"/>
      <w:bookmarkEnd w:id="174"/>
      <w:bookmarkStart w:id="175" w:name="_Toc106030907"/>
      <w:bookmarkEnd w:id="175"/>
      <w:bookmarkStart w:id="176" w:name="_Toc313888361"/>
      <w:bookmarkEnd w:id="176"/>
      <w:bookmarkStart w:id="177" w:name="_Toc76462351"/>
      <w:bookmarkEnd w:id="177"/>
      <w:bookmarkStart w:id="178" w:name="_Toc11568"/>
      <w:r>
        <w:rPr>
          <w:rFonts w:hint="eastAsia" w:asciiTheme="minorEastAsia" w:hAnsiTheme="minorEastAsia" w:eastAsiaTheme="minorEastAsia" w:cstheme="minorEastAsia"/>
          <w:color w:val="auto"/>
          <w:sz w:val="24"/>
          <w:highlight w:val="none"/>
        </w:rPr>
        <w:t>二、服务部分</w:t>
      </w:r>
      <w:bookmarkEnd w:id="178"/>
    </w:p>
    <w:p>
      <w:pPr>
        <w:tabs>
          <w:tab w:val="left" w:pos="6300"/>
        </w:tabs>
        <w:snapToGrid w:val="0"/>
        <w:spacing w:line="40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4"/>
          <w:szCs w:val="24"/>
          <w:highlight w:val="none"/>
        </w:rPr>
        <w:t>（一）服务</w:t>
      </w:r>
      <w:r>
        <w:rPr>
          <w:rFonts w:hint="eastAsia" w:asciiTheme="minorEastAsia" w:hAnsiTheme="minorEastAsia" w:eastAsiaTheme="minorEastAsia" w:cstheme="minorEastAsia"/>
          <w:color w:val="auto"/>
          <w:sz w:val="24"/>
          <w:szCs w:val="24"/>
          <w:highlight w:val="none"/>
          <w:lang w:val="en-US" w:eastAsia="zh-CN"/>
        </w:rPr>
        <w:t>条款</w:t>
      </w:r>
      <w:r>
        <w:rPr>
          <w:rFonts w:hint="eastAsia" w:asciiTheme="minorEastAsia" w:hAnsiTheme="minorEastAsia" w:eastAsiaTheme="minorEastAsia" w:cstheme="minorEastAsia"/>
          <w:color w:val="auto"/>
          <w:sz w:val="24"/>
          <w:szCs w:val="24"/>
          <w:highlight w:val="none"/>
        </w:rPr>
        <w:t>响应</w:t>
      </w:r>
    </w:p>
    <w:p>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项目编号：</w:t>
      </w:r>
      <w:r>
        <w:rPr>
          <w:rFonts w:hint="eastAsia" w:asciiTheme="minorEastAsia" w:hAnsiTheme="minorEastAsia" w:eastAsiaTheme="minorEastAsia" w:cstheme="minorEastAsia"/>
          <w:color w:val="auto"/>
          <w:sz w:val="24"/>
          <w:szCs w:val="24"/>
          <w:highlight w:val="none"/>
        </w:rPr>
        <w:t xml:space="preserve">                              </w:t>
      </w:r>
    </w:p>
    <w:p>
      <w:pPr>
        <w:spacing w:line="4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4"/>
          <w:highlight w:val="none"/>
        </w:rPr>
        <w:t>项目名称：</w:t>
      </w:r>
    </w:p>
    <w:p>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rPr>
      </w:pPr>
    </w:p>
    <w:p>
      <w:pPr>
        <w:spacing w:line="500" w:lineRule="exact"/>
        <w:ind w:firstLine="480" w:firstLineChars="2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val="en-US" w:eastAsia="zh-CN"/>
        </w:rPr>
        <w:t>我方</w:t>
      </w:r>
      <w:r>
        <w:rPr>
          <w:rFonts w:hint="eastAsia" w:asciiTheme="minorEastAsia" w:hAnsiTheme="minorEastAsia" w:eastAsiaTheme="minorEastAsia" w:cstheme="minorEastAsia"/>
          <w:color w:val="auto"/>
          <w:sz w:val="24"/>
          <w:szCs w:val="28"/>
          <w:highlight w:val="none"/>
        </w:rPr>
        <w:t>完全响应磋商文件</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第二篇</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项目服务需求</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全部内容及要求，无负偏离、无差异</w:t>
      </w:r>
      <w:r>
        <w:rPr>
          <w:rFonts w:hint="eastAsia" w:asciiTheme="minorEastAsia" w:hAnsiTheme="minorEastAsia" w:eastAsiaTheme="minorEastAsia" w:cstheme="minorEastAsia"/>
          <w:color w:val="auto"/>
          <w:sz w:val="24"/>
          <w:szCs w:val="28"/>
          <w:highlight w:val="none"/>
          <w:lang w:eastAsia="zh-CN"/>
        </w:rPr>
        <w:t>。</w:t>
      </w:r>
    </w:p>
    <w:p>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rPr>
      </w:pPr>
    </w:p>
    <w:p>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w:t>
      </w:r>
      <w:r>
        <w:rPr>
          <w:rFonts w:hint="eastAsia" w:asciiTheme="minorEastAsia" w:hAnsiTheme="minorEastAsia" w:eastAsiaTheme="minorEastAsia" w:cstheme="minorEastAsia"/>
          <w:color w:val="auto"/>
          <w:sz w:val="24"/>
          <w:szCs w:val="28"/>
          <w:highlight w:val="none"/>
          <w:lang w:val="en-US" w:eastAsia="zh-CN"/>
        </w:rPr>
        <w:t>名称</w:t>
      </w:r>
      <w:r>
        <w:rPr>
          <w:rFonts w:hint="eastAsia" w:asciiTheme="minorEastAsia" w:hAnsiTheme="minorEastAsia" w:eastAsiaTheme="minorEastAsia" w:cstheme="minorEastAsia"/>
          <w:color w:val="auto"/>
          <w:sz w:val="24"/>
          <w:szCs w:val="28"/>
          <w:highlight w:val="none"/>
        </w:rPr>
        <w:t>：                       法定代表人（或法定代表人授权代表）或负责人（或负责人授权代表）</w:t>
      </w:r>
      <w:r>
        <w:rPr>
          <w:rFonts w:hint="eastAsia" w:asciiTheme="minorEastAsia" w:hAnsiTheme="minorEastAsia" w:eastAsiaTheme="minorEastAsia" w:cstheme="minorEastAsia"/>
          <w:color w:val="auto"/>
          <w:sz w:val="24"/>
          <w:szCs w:val="28"/>
          <w:highlight w:val="none"/>
          <w:lang w:val="en-US" w:eastAsia="zh-CN"/>
        </w:rPr>
        <w:t>或</w:t>
      </w:r>
      <w:r>
        <w:rPr>
          <w:rFonts w:hint="eastAsia" w:asciiTheme="minorEastAsia" w:hAnsiTheme="minorEastAsia" w:eastAsiaTheme="minorEastAsia" w:cstheme="minorEastAsia"/>
          <w:color w:val="auto"/>
          <w:sz w:val="24"/>
          <w:szCs w:val="28"/>
          <w:highlight w:val="none"/>
        </w:rPr>
        <w:t>自然人</w:t>
      </w:r>
      <w:r>
        <w:rPr>
          <w:rFonts w:hint="eastAsia" w:asciiTheme="minorEastAsia" w:hAnsiTheme="minorEastAsia" w:eastAsiaTheme="minorEastAsia" w:cstheme="minorEastAsia"/>
          <w:color w:val="auto"/>
          <w:sz w:val="24"/>
          <w:szCs w:val="24"/>
          <w:highlight w:val="none"/>
        </w:rPr>
        <w:t>：</w:t>
      </w:r>
    </w:p>
    <w:p>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书面方案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格式自拟</w:t>
      </w:r>
      <w:r>
        <w:rPr>
          <w:rFonts w:hint="eastAsia" w:asciiTheme="minorEastAsia" w:hAnsiTheme="minorEastAsia" w:eastAsiaTheme="minorEastAsia" w:cstheme="minorEastAsia"/>
          <w:color w:val="auto"/>
          <w:sz w:val="24"/>
          <w:szCs w:val="24"/>
          <w:highlight w:val="none"/>
        </w:rPr>
        <w:t>）</w:t>
      </w: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tabs>
          <w:tab w:val="left" w:pos="6300"/>
        </w:tabs>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（三）其他服务部分评审资料（自附）</w:t>
      </w: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pStyle w:val="3"/>
        <w:adjustRightInd w:val="0"/>
        <w:snapToGrid w:val="0"/>
        <w:spacing w:before="0" w:after="0" w:line="400" w:lineRule="exact"/>
        <w:ind w:firstLine="640" w:firstLineChars="200"/>
        <w:rPr>
          <w:rFonts w:hint="eastAsia" w:asciiTheme="minorEastAsia" w:hAnsiTheme="minorEastAsia" w:eastAsiaTheme="minorEastAsia" w:cstheme="minorEastAsia"/>
          <w:color w:val="auto"/>
          <w:sz w:val="24"/>
          <w:highlight w:val="none"/>
        </w:rPr>
      </w:pPr>
      <w:bookmarkStart w:id="179" w:name="_Toc313008358"/>
      <w:bookmarkEnd w:id="179"/>
      <w:bookmarkStart w:id="180" w:name="_Toc30533"/>
      <w:bookmarkEnd w:id="180"/>
      <w:bookmarkStart w:id="181" w:name="_Toc313888362"/>
      <w:bookmarkEnd w:id="181"/>
      <w:bookmarkStart w:id="182" w:name="_Toc342913421"/>
      <w:bookmarkEnd w:id="182"/>
      <w:bookmarkStart w:id="183" w:name="_Toc76462352"/>
      <w:bookmarkEnd w:id="183"/>
      <w:bookmarkStart w:id="184" w:name="_Toc106030908"/>
      <w:bookmarkEnd w:id="184"/>
      <w:r>
        <w:rPr>
          <w:rFonts w:hint="eastAsia" w:asciiTheme="minorEastAsia" w:hAnsiTheme="minorEastAsia" w:eastAsiaTheme="minorEastAsia" w:cstheme="minorEastAsia"/>
          <w:b w:val="0"/>
          <w:color w:val="auto"/>
          <w:highlight w:val="none"/>
        </w:rPr>
        <w:br w:type="page"/>
      </w:r>
      <w:bookmarkStart w:id="185" w:name="_Toc30212"/>
      <w:r>
        <w:rPr>
          <w:rFonts w:hint="eastAsia" w:asciiTheme="minorEastAsia" w:hAnsiTheme="minorEastAsia" w:eastAsiaTheme="minorEastAsia" w:cstheme="minorEastAsia"/>
          <w:color w:val="auto"/>
          <w:sz w:val="24"/>
          <w:highlight w:val="none"/>
        </w:rPr>
        <w:t>三、商务部分</w:t>
      </w:r>
      <w:bookmarkEnd w:id="185"/>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w:t>
      </w:r>
      <w:r>
        <w:rPr>
          <w:rFonts w:hint="eastAsia" w:asciiTheme="minorEastAsia" w:hAnsiTheme="minorEastAsia" w:eastAsiaTheme="minorEastAsia" w:cstheme="minorEastAsia"/>
          <w:color w:val="auto"/>
          <w:sz w:val="24"/>
          <w:szCs w:val="24"/>
          <w:highlight w:val="none"/>
          <w:lang w:val="en-US" w:eastAsia="zh-CN"/>
        </w:rPr>
        <w:t>条款</w:t>
      </w:r>
      <w:r>
        <w:rPr>
          <w:rFonts w:hint="eastAsia" w:asciiTheme="minorEastAsia" w:hAnsiTheme="minorEastAsia" w:eastAsiaTheme="minorEastAsia" w:cstheme="minorEastAsia"/>
          <w:color w:val="auto"/>
          <w:sz w:val="24"/>
          <w:szCs w:val="24"/>
          <w:highlight w:val="none"/>
        </w:rPr>
        <w:t xml:space="preserve">响应                                </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p>
    <w:p>
      <w:pPr>
        <w:snapToGrid w:val="0"/>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项目编号：</w:t>
      </w:r>
    </w:p>
    <w:p>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pPr>
        <w:spacing w:line="500" w:lineRule="exact"/>
        <w:rPr>
          <w:rFonts w:hint="eastAsia" w:asciiTheme="minorEastAsia" w:hAnsiTheme="minorEastAsia" w:eastAsiaTheme="minorEastAsia" w:cstheme="minorEastAsia"/>
          <w:color w:val="auto"/>
          <w:sz w:val="24"/>
          <w:szCs w:val="28"/>
          <w:highlight w:val="none"/>
          <w:lang w:val="en-US" w:eastAsia="zh-CN"/>
        </w:rPr>
      </w:pPr>
    </w:p>
    <w:p>
      <w:pPr>
        <w:spacing w:line="500" w:lineRule="exact"/>
        <w:ind w:firstLine="480" w:firstLineChars="2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val="en-US" w:eastAsia="zh-CN"/>
        </w:rPr>
        <w:t>我方</w:t>
      </w:r>
      <w:r>
        <w:rPr>
          <w:rFonts w:hint="eastAsia" w:asciiTheme="minorEastAsia" w:hAnsiTheme="minorEastAsia" w:eastAsiaTheme="minorEastAsia" w:cstheme="minorEastAsia"/>
          <w:color w:val="auto"/>
          <w:sz w:val="24"/>
          <w:szCs w:val="28"/>
          <w:highlight w:val="none"/>
        </w:rPr>
        <w:t>完全响应磋商文件</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第</w:t>
      </w:r>
      <w:r>
        <w:rPr>
          <w:rFonts w:hint="eastAsia" w:asciiTheme="minorEastAsia" w:hAnsiTheme="minorEastAsia" w:eastAsiaTheme="minorEastAsia" w:cstheme="minorEastAsia"/>
          <w:color w:val="auto"/>
          <w:sz w:val="24"/>
          <w:szCs w:val="28"/>
          <w:highlight w:val="none"/>
          <w:lang w:val="en-US" w:eastAsia="zh-CN"/>
        </w:rPr>
        <w:t>三</w:t>
      </w:r>
      <w:r>
        <w:rPr>
          <w:rFonts w:hint="eastAsia" w:asciiTheme="minorEastAsia" w:hAnsiTheme="minorEastAsia" w:eastAsiaTheme="minorEastAsia" w:cstheme="minorEastAsia"/>
          <w:color w:val="auto"/>
          <w:sz w:val="24"/>
          <w:szCs w:val="28"/>
          <w:highlight w:val="none"/>
        </w:rPr>
        <w:t>篇</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项目</w:t>
      </w:r>
      <w:r>
        <w:rPr>
          <w:rFonts w:hint="eastAsia" w:asciiTheme="minorEastAsia" w:hAnsiTheme="minorEastAsia" w:eastAsiaTheme="minorEastAsia" w:cstheme="minorEastAsia"/>
          <w:color w:val="auto"/>
          <w:sz w:val="24"/>
          <w:szCs w:val="28"/>
          <w:highlight w:val="none"/>
          <w:lang w:val="en-US" w:eastAsia="zh-CN"/>
        </w:rPr>
        <w:t>商务</w:t>
      </w:r>
      <w:r>
        <w:rPr>
          <w:rFonts w:hint="eastAsia" w:asciiTheme="minorEastAsia" w:hAnsiTheme="minorEastAsia" w:eastAsiaTheme="minorEastAsia" w:cstheme="minorEastAsia"/>
          <w:color w:val="auto"/>
          <w:sz w:val="24"/>
          <w:szCs w:val="28"/>
          <w:highlight w:val="none"/>
        </w:rPr>
        <w:t>需求</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全部内容及要求，无负偏离、无差异</w:t>
      </w:r>
      <w:r>
        <w:rPr>
          <w:rFonts w:hint="eastAsia" w:asciiTheme="minorEastAsia" w:hAnsiTheme="minorEastAsia" w:eastAsiaTheme="minorEastAsia" w:cstheme="minorEastAsia"/>
          <w:color w:val="auto"/>
          <w:sz w:val="24"/>
          <w:szCs w:val="28"/>
          <w:highlight w:val="none"/>
          <w:lang w:eastAsia="zh-CN"/>
        </w:rPr>
        <w:t>。</w:t>
      </w:r>
    </w:p>
    <w:p>
      <w:pPr>
        <w:spacing w:line="500" w:lineRule="exact"/>
        <w:ind w:left="4800" w:hanging="4800" w:hangingChars="2000"/>
        <w:rPr>
          <w:rFonts w:hint="eastAsia" w:asciiTheme="minorEastAsia" w:hAnsiTheme="minorEastAsia" w:eastAsiaTheme="minorEastAsia" w:cstheme="minorEastAsia"/>
          <w:color w:val="auto"/>
          <w:sz w:val="24"/>
          <w:szCs w:val="28"/>
          <w:highlight w:val="none"/>
        </w:rPr>
      </w:pPr>
    </w:p>
    <w:p>
      <w:pPr>
        <w:spacing w:line="500" w:lineRule="exact"/>
        <w:ind w:left="4800" w:hanging="4800" w:hangingChars="20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w:t>
      </w:r>
      <w:r>
        <w:rPr>
          <w:rFonts w:hint="eastAsia" w:asciiTheme="minorEastAsia" w:hAnsiTheme="minorEastAsia" w:eastAsiaTheme="minorEastAsia" w:cstheme="minorEastAsia"/>
          <w:color w:val="auto"/>
          <w:sz w:val="24"/>
          <w:szCs w:val="28"/>
          <w:highlight w:val="none"/>
          <w:lang w:val="en-US" w:eastAsia="zh-CN"/>
        </w:rPr>
        <w:t>名称</w:t>
      </w:r>
      <w:r>
        <w:rPr>
          <w:rFonts w:hint="eastAsia" w:asciiTheme="minorEastAsia" w:hAnsiTheme="minorEastAsia" w:eastAsiaTheme="minorEastAsia" w:cstheme="minorEastAsia"/>
          <w:color w:val="auto"/>
          <w:sz w:val="24"/>
          <w:szCs w:val="28"/>
          <w:highlight w:val="none"/>
        </w:rPr>
        <w:t>：                         法定代表人（或法定代表人授权代表）或负责人（或负责人授权代表）或自然人</w:t>
      </w:r>
      <w:r>
        <w:rPr>
          <w:rFonts w:hint="eastAsia" w:asciiTheme="minorEastAsia" w:hAnsiTheme="minorEastAsia" w:eastAsiaTheme="minorEastAsia" w:cstheme="minorEastAsia"/>
          <w:color w:val="auto"/>
          <w:sz w:val="24"/>
          <w:szCs w:val="24"/>
          <w:highlight w:val="none"/>
        </w:rPr>
        <w:t>：</w:t>
      </w:r>
    </w:p>
    <w:p>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pPr>
        <w:tabs>
          <w:tab w:val="left" w:pos="6300"/>
        </w:tabs>
        <w:snapToGrid w:val="0"/>
        <w:spacing w:line="500" w:lineRule="exact"/>
        <w:ind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186" w:name="_Toc283382459"/>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（二）其它商务评审资料（</w:t>
      </w:r>
      <w:r>
        <w:rPr>
          <w:rFonts w:hint="eastAsia" w:asciiTheme="minorEastAsia" w:hAnsiTheme="minorEastAsia" w:eastAsiaTheme="minorEastAsia" w:cstheme="minorEastAsia"/>
          <w:color w:val="auto"/>
          <w:sz w:val="24"/>
          <w:szCs w:val="24"/>
          <w:highlight w:val="none"/>
          <w:lang w:val="en-US" w:eastAsia="zh-CN"/>
        </w:rPr>
        <w:t>自附</w:t>
      </w:r>
      <w:r>
        <w:rPr>
          <w:rFonts w:hint="eastAsia" w:asciiTheme="minorEastAsia" w:hAnsiTheme="minorEastAsia" w:eastAsiaTheme="minorEastAsia" w:cstheme="minorEastAsia"/>
          <w:color w:val="auto"/>
          <w:sz w:val="24"/>
          <w:szCs w:val="24"/>
          <w:highlight w:val="none"/>
        </w:rPr>
        <w:t>）</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bookmarkEnd w:id="186"/>
    <w:p>
      <w:pPr>
        <w:pStyle w:val="3"/>
        <w:adjustRightInd w:val="0"/>
        <w:snapToGrid w:val="0"/>
        <w:spacing w:before="0" w:after="0" w:line="400" w:lineRule="exact"/>
        <w:ind w:firstLine="481" w:firstLineChars="200"/>
        <w:rPr>
          <w:rFonts w:hint="eastAsia" w:asciiTheme="minorEastAsia" w:hAnsiTheme="minorEastAsia" w:eastAsiaTheme="minorEastAsia" w:cstheme="minorEastAsia"/>
          <w:color w:val="auto"/>
          <w:sz w:val="24"/>
          <w:highlight w:val="none"/>
        </w:rPr>
      </w:pPr>
      <w:bookmarkStart w:id="187" w:name="_Toc313008359"/>
      <w:bookmarkEnd w:id="187"/>
      <w:bookmarkStart w:id="188" w:name="_Toc76462353"/>
      <w:bookmarkEnd w:id="188"/>
      <w:bookmarkStart w:id="189" w:name="_Toc313888363"/>
      <w:bookmarkEnd w:id="189"/>
      <w:bookmarkStart w:id="190" w:name="_Toc106030909"/>
      <w:bookmarkEnd w:id="190"/>
      <w:bookmarkStart w:id="191" w:name="_Toc342913422"/>
      <w:bookmarkEnd w:id="191"/>
      <w:bookmarkStart w:id="192" w:name="_Toc28692"/>
      <w:bookmarkEnd w:id="192"/>
      <w:r>
        <w:rPr>
          <w:rFonts w:hint="eastAsia" w:asciiTheme="minorEastAsia" w:hAnsiTheme="minorEastAsia" w:eastAsiaTheme="minorEastAsia" w:cstheme="minorEastAsia"/>
          <w:color w:val="auto"/>
          <w:sz w:val="24"/>
          <w:szCs w:val="24"/>
          <w:highlight w:val="none"/>
        </w:rPr>
        <w:br w:type="page"/>
      </w:r>
      <w:bookmarkStart w:id="193" w:name="_Toc14434"/>
      <w:r>
        <w:rPr>
          <w:rFonts w:hint="eastAsia" w:asciiTheme="minorEastAsia" w:hAnsiTheme="minorEastAsia" w:eastAsiaTheme="minorEastAsia" w:cstheme="minorEastAsia"/>
          <w:color w:val="auto"/>
          <w:sz w:val="24"/>
          <w:highlight w:val="none"/>
        </w:rPr>
        <w:t>四、资格条件</w:t>
      </w:r>
      <w:bookmarkEnd w:id="193"/>
    </w:p>
    <w:p>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w:t>
      </w:r>
      <w:r>
        <w:rPr>
          <w:rFonts w:hint="eastAsia" w:asciiTheme="minorEastAsia" w:hAnsiTheme="minorEastAsia" w:eastAsiaTheme="minorEastAsia" w:cstheme="minorEastAsia"/>
          <w:color w:val="auto"/>
          <w:sz w:val="24"/>
          <w:szCs w:val="24"/>
          <w:highlight w:val="none"/>
          <w:lang w:val="en-US" w:eastAsia="zh-CN"/>
        </w:rPr>
        <w:t>分公司（</w:t>
      </w:r>
      <w:r>
        <w:rPr>
          <w:rFonts w:hint="eastAsia" w:asciiTheme="minorEastAsia" w:hAnsiTheme="minorEastAsia" w:eastAsiaTheme="minorEastAsia" w:cstheme="minorEastAsia"/>
          <w:color w:val="auto"/>
          <w:sz w:val="24"/>
          <w:szCs w:val="24"/>
          <w:highlight w:val="none"/>
        </w:rPr>
        <w:t>分支机构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营业执照或事业单位法人证书（副本）或个体工商户营业执照或有效的自然人身份证明或社会团体法人登记证书复印件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w:t>
      </w:r>
      <w:r>
        <w:rPr>
          <w:rFonts w:hint="eastAsia" w:asciiTheme="minorEastAsia" w:hAnsiTheme="minorEastAsia" w:eastAsiaTheme="minorEastAsia" w:cstheme="minorEastAsia"/>
          <w:color w:val="auto"/>
          <w:sz w:val="24"/>
          <w:szCs w:val="24"/>
          <w:highlight w:val="none"/>
          <w:lang w:val="en-US" w:eastAsia="zh-CN"/>
        </w:rPr>
        <w:t>或</w:t>
      </w:r>
      <w:r>
        <w:rPr>
          <w:rFonts w:hint="eastAsia" w:ascii="宋体" w:hAnsi="宋体" w:cs="宋体"/>
          <w:color w:val="auto"/>
          <w:sz w:val="24"/>
          <w:szCs w:val="28"/>
          <w:highlight w:val="none"/>
          <w:lang w:val="en-US" w:eastAsia="zh-CN"/>
        </w:rPr>
        <w:t>负责人</w:t>
      </w:r>
      <w:r>
        <w:rPr>
          <w:rFonts w:hint="eastAsia" w:asciiTheme="minorEastAsia" w:hAnsiTheme="minorEastAsia" w:eastAsiaTheme="minorEastAsia" w:cstheme="minorEastAsia"/>
          <w:color w:val="auto"/>
          <w:sz w:val="24"/>
          <w:szCs w:val="24"/>
          <w:highlight w:val="none"/>
        </w:rPr>
        <w:t>身份证明书（格式）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w:t>
      </w:r>
      <w:r>
        <w:rPr>
          <w:rFonts w:hint="eastAsia" w:asciiTheme="minorEastAsia" w:hAnsiTheme="minorEastAsia" w:eastAsiaTheme="minorEastAsia" w:cstheme="minorEastAsia"/>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rPr>
        <w:t>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r>
        <w:rPr>
          <w:rFonts w:hint="eastAsia" w:ascii="宋体" w:hAnsi="宋体" w:cs="宋体"/>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rPr>
        <w:t>电话：XXXXXXX      电子邮箱：XXXXXX@XXXXX（若授权他人办理并签署响应文件的可不填写</w:t>
      </w:r>
      <w:r>
        <w:rPr>
          <w:rFonts w:hint="eastAsia" w:asciiTheme="minorEastAsia" w:hAnsiTheme="minorEastAsia" w:eastAsiaTheme="minorEastAsia" w:cstheme="minorEastAsia"/>
          <w:color w:val="auto"/>
          <w:sz w:val="24"/>
          <w:highlight w:val="none"/>
          <w:lang w:val="en-US" w:eastAsia="zh-CN"/>
        </w:rPr>
        <w:t>电话及电子邮箱</w:t>
      </w:r>
      <w:r>
        <w:rPr>
          <w:rFonts w:hint="eastAsia" w:asciiTheme="minorEastAsia" w:hAnsiTheme="minorEastAsia" w:eastAsiaTheme="minorEastAsia" w:cstheme="minorEastAsia"/>
          <w:color w:val="auto"/>
          <w:sz w:val="24"/>
          <w:highlight w:val="none"/>
        </w:rPr>
        <w:t>）</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w:t>
      </w:r>
      <w:r>
        <w:rPr>
          <w:rFonts w:hint="eastAsia" w:ascii="宋体" w:hAnsi="宋体" w:cs="宋体"/>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rPr>
        <w:t>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w:t>
      </w:r>
      <w:r>
        <w:rPr>
          <w:rFonts w:hint="eastAsia" w:asciiTheme="minorEastAsia" w:hAnsiTheme="minorEastAsia" w:eastAsiaTheme="minorEastAsia" w:cstheme="minorEastAsia"/>
          <w:color w:val="auto"/>
          <w:sz w:val="24"/>
          <w:szCs w:val="24"/>
          <w:highlight w:val="none"/>
          <w:lang w:val="en-US" w:eastAsia="zh-CN"/>
        </w:rPr>
        <w:t>或</w:t>
      </w:r>
      <w:r>
        <w:rPr>
          <w:rFonts w:hint="eastAsia" w:ascii="宋体" w:hAnsi="宋体" w:cs="宋体"/>
          <w:color w:val="auto"/>
          <w:sz w:val="24"/>
          <w:szCs w:val="28"/>
          <w:highlight w:val="none"/>
          <w:lang w:val="en-US" w:eastAsia="zh-CN"/>
        </w:rPr>
        <w:t>负责人</w:t>
      </w:r>
      <w:r>
        <w:rPr>
          <w:rFonts w:hint="eastAsia" w:asciiTheme="minorEastAsia" w:hAnsiTheme="minorEastAsia" w:eastAsiaTheme="minorEastAsia" w:cstheme="minorEastAsia"/>
          <w:color w:val="auto"/>
          <w:sz w:val="24"/>
          <w:szCs w:val="24"/>
          <w:highlight w:val="none"/>
        </w:rPr>
        <w:t>授权委托书（格式）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w:t>
      </w:r>
      <w:r>
        <w:rPr>
          <w:rFonts w:hint="eastAsia" w:asciiTheme="minorEastAsia" w:hAnsiTheme="minorEastAsia" w:eastAsiaTheme="minorEastAsia" w:cstheme="minorEastAsia"/>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rPr>
        <w:t>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w:t>
      </w:r>
      <w:r>
        <w:rPr>
          <w:rFonts w:hint="eastAsia" w:asciiTheme="minorEastAsia" w:hAnsiTheme="minorEastAsia" w:eastAsiaTheme="minorEastAsia" w:cstheme="minorEastAsia"/>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rPr>
        <w:t>，特授权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（被授权人姓名及身份证代码）代表我单位全权办理</w:t>
      </w:r>
      <w:r>
        <w:rPr>
          <w:rFonts w:hint="eastAsia" w:asciiTheme="minorEastAsia" w:hAnsiTheme="minorEastAsia" w:eastAsiaTheme="minorEastAsia" w:cstheme="minorEastAsia"/>
          <w:color w:val="auto"/>
          <w:sz w:val="24"/>
          <w:highlight w:val="none"/>
          <w:lang w:val="en-US" w:eastAsia="zh-CN"/>
        </w:rPr>
        <w:t>本</w:t>
      </w:r>
      <w:r>
        <w:rPr>
          <w:rFonts w:hint="eastAsia" w:asciiTheme="minorEastAsia" w:hAnsiTheme="minorEastAsia" w:eastAsiaTheme="minorEastAsia" w:cstheme="minorEastAsia"/>
          <w:color w:val="auto"/>
          <w:sz w:val="24"/>
          <w:highlight w:val="none"/>
        </w:rPr>
        <w:t>项目的磋商、签约等具体工作，并签署全部有关文件、协议及合同。</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r>
        <w:rPr>
          <w:rFonts w:hint="eastAsia" w:asciiTheme="minorEastAsia" w:hAnsiTheme="minorEastAsia" w:eastAsiaTheme="minorEastAsia" w:cstheme="minorEastAsia"/>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rPr>
        <w:t>：</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w:t>
      </w:r>
      <w:r>
        <w:rPr>
          <w:rFonts w:hint="eastAsia" w:asciiTheme="minorEastAsia" w:hAnsiTheme="minorEastAsia" w:eastAsiaTheme="minorEastAsia" w:cstheme="minorEastAsia"/>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rPr>
        <w:t>办理并签署响应文件的可不填写）</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w:t>
      </w:r>
      <w:r>
        <w:rPr>
          <w:rFonts w:hint="eastAsia" w:asciiTheme="minorEastAsia" w:hAnsiTheme="minorEastAsia" w:eastAsiaTheme="minorEastAsia" w:cstheme="minorEastAsia"/>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rPr>
        <w:t>办理并签署响应文件的，不提供此文件。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pPr>
        <w:tabs>
          <w:tab w:val="left" w:pos="6300"/>
        </w:tabs>
        <w:snapToGrid w:val="0"/>
        <w:spacing w:line="500" w:lineRule="exact"/>
        <w:ind w:firstLine="642"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2.我方未列入在信用中国网站（www.creditchina.gov.cn）“失信被执行人”、“重大税收违法案件当事人名单”中，也未列入中国</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网（www.ccgp.gov.cn）“</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严重违法失信行为记录名单”中。</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3.我方在采购项目评审（评标）环节结束后，随时接受采购人、采购代理机构的检查验证，配合提供相关证明材料，证明符合《中华人民共和国</w:t>
      </w:r>
      <w:r>
        <w:rPr>
          <w:rFonts w:hint="eastAsia" w:asciiTheme="minorEastAsia" w:hAnsiTheme="minorEastAsia" w:eastAsiaTheme="minorEastAsia" w:cstheme="minorEastAsia"/>
          <w:color w:val="auto"/>
          <w:sz w:val="24"/>
          <w:highlight w:val="none"/>
          <w:lang w:val="en-US" w:eastAsia="zh-CN"/>
        </w:rPr>
        <w:t>政府</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法》规定的供应商基本资格条件。</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pPr>
        <w:tabs>
          <w:tab w:val="left" w:pos="6300"/>
        </w:tabs>
        <w:snapToGrid w:val="0"/>
        <w:spacing w:line="500" w:lineRule="exact"/>
        <w:ind w:firstLine="480" w:firstLineChars="200"/>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供应商名称：</w:t>
      </w:r>
    </w:p>
    <w:p>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（五）特定资格条件证明文件（如果有）</w:t>
      </w:r>
    </w:p>
    <w:p>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p>
    <w:p>
      <w:pPr>
        <w:tabs>
          <w:tab w:val="left" w:pos="6300"/>
        </w:tabs>
        <w:snapToGrid w:val="0"/>
        <w:spacing w:line="400" w:lineRule="exact"/>
        <w:ind w:firstLine="481"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注：分公司（分支机构）参与磋商的提供总公司（总部）针对本项目的授权。</w:t>
      </w:r>
    </w:p>
    <w:p>
      <w:pPr>
        <w:pStyle w:val="3"/>
        <w:adjustRightInd w:val="0"/>
        <w:snapToGrid w:val="0"/>
        <w:spacing w:before="0" w:after="0" w:line="400" w:lineRule="exact"/>
        <w:ind w:firstLine="560" w:firstLineChars="200"/>
        <w:rPr>
          <w:rFonts w:hint="eastAsia" w:asciiTheme="minorEastAsia" w:hAnsiTheme="minorEastAsia" w:eastAsiaTheme="minorEastAsia" w:cstheme="minorEastAsia"/>
          <w:color w:val="auto"/>
          <w:sz w:val="24"/>
          <w:highlight w:val="none"/>
        </w:rPr>
      </w:pPr>
      <w:bookmarkStart w:id="194" w:name="_Toc106030910"/>
      <w:bookmarkEnd w:id="194"/>
      <w:bookmarkStart w:id="195" w:name="_Toc7667"/>
      <w:bookmarkEnd w:id="195"/>
      <w:bookmarkStart w:id="196" w:name="_Toc14422"/>
      <w:bookmarkEnd w:id="196"/>
      <w:bookmarkStart w:id="197" w:name="_Toc76462354"/>
      <w:bookmarkEnd w:id="197"/>
      <w:r>
        <w:rPr>
          <w:rFonts w:hint="eastAsia" w:asciiTheme="minorEastAsia" w:hAnsiTheme="minorEastAsia" w:eastAsiaTheme="minorEastAsia" w:cstheme="minorEastAsia"/>
          <w:b w:val="0"/>
          <w:color w:val="auto"/>
          <w:sz w:val="28"/>
          <w:highlight w:val="none"/>
        </w:rPr>
        <w:br w:type="page"/>
      </w:r>
      <w:bookmarkStart w:id="198" w:name="_Toc13416"/>
      <w:r>
        <w:rPr>
          <w:rFonts w:hint="eastAsia" w:asciiTheme="minorEastAsia" w:hAnsiTheme="minorEastAsia" w:eastAsiaTheme="minorEastAsia" w:cstheme="minorEastAsia"/>
          <w:color w:val="auto"/>
          <w:sz w:val="24"/>
          <w:highlight w:val="none"/>
        </w:rPr>
        <w:t>五、其他资料</w:t>
      </w:r>
      <w:bookmarkEnd w:id="198"/>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w:t>
      </w:r>
      <w:r>
        <w:rPr>
          <w:rFonts w:hint="eastAsia" w:asciiTheme="minorEastAsia" w:hAnsiTheme="minorEastAsia" w:eastAsiaTheme="minorEastAsia" w:cstheme="minorEastAsia"/>
          <w:color w:val="auto"/>
          <w:sz w:val="24"/>
          <w:szCs w:val="24"/>
          <w:highlight w:val="none"/>
          <w:lang w:val="en-US" w:eastAsia="zh-CN"/>
        </w:rPr>
        <w:t>如</w:t>
      </w: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简介</w:t>
      </w:r>
      <w:r>
        <w:rPr>
          <w:rFonts w:hint="eastAsia" w:asciiTheme="minorEastAsia" w:hAnsiTheme="minorEastAsia" w:eastAsiaTheme="minorEastAsia" w:cstheme="minorEastAsia"/>
          <w:color w:val="auto"/>
          <w:sz w:val="24"/>
          <w:szCs w:val="24"/>
          <w:highlight w:val="none"/>
        </w:rPr>
        <w:t>、其他与本项目有关的资料等。</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Segoe Print"/>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- 6 -</w:t>
    </w:r>
    <w:r>
      <w:rPr>
        <w:rFonts w:ascii="宋体"/>
        <w:sz w:val="21"/>
        <w:szCs w:val="21"/>
      </w:rP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p>
  <w:p>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- 10 -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end"/>
    </w:r>
  </w:p>
  <w:p>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673E2"/>
    <w:multiLevelType w:val="singleLevel"/>
    <w:tmpl w:val="9AB673E2"/>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2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4"/>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4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0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3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9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33"/>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3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4"/>
  </w:num>
  <w:num w:numId="3">
    <w:abstractNumId w:val="10"/>
  </w:num>
  <w:num w:numId="4">
    <w:abstractNumId w:val="1"/>
  </w:num>
  <w:num w:numId="5">
    <w:abstractNumId w:val="7"/>
  </w:num>
  <w:num w:numId="6">
    <w:abstractNumId w:val="12"/>
  </w:num>
  <w:num w:numId="7">
    <w:abstractNumId w:val="2"/>
  </w:num>
  <w:num w:numId="8">
    <w:abstractNumId w:val="3"/>
  </w:num>
  <w:num w:numId="9">
    <w:abstractNumId w:val="6"/>
  </w:num>
  <w:num w:numId="10">
    <w:abstractNumId w:val="8"/>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movePersonalInformation/>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YWVjNDM1OTAyNDQ2MTBjNDM1MWMxYmRhOGE3MTIifQ=="/>
  </w:docVars>
  <w:rsids>
    <w:rsidRoot w:val="00172A27"/>
    <w:rsid w:val="000014C5"/>
    <w:rsid w:val="00002AE4"/>
    <w:rsid w:val="00003626"/>
    <w:rsid w:val="000040DE"/>
    <w:rsid w:val="000070F0"/>
    <w:rsid w:val="000075E8"/>
    <w:rsid w:val="00011B4B"/>
    <w:rsid w:val="000129E2"/>
    <w:rsid w:val="00016B79"/>
    <w:rsid w:val="00017816"/>
    <w:rsid w:val="00032ACA"/>
    <w:rsid w:val="0003632F"/>
    <w:rsid w:val="00041CAA"/>
    <w:rsid w:val="00043835"/>
    <w:rsid w:val="0004739C"/>
    <w:rsid w:val="00051E02"/>
    <w:rsid w:val="000523C9"/>
    <w:rsid w:val="0005298B"/>
    <w:rsid w:val="0005417C"/>
    <w:rsid w:val="000576E1"/>
    <w:rsid w:val="00061A7C"/>
    <w:rsid w:val="00063981"/>
    <w:rsid w:val="00074C38"/>
    <w:rsid w:val="000816AD"/>
    <w:rsid w:val="00082CC1"/>
    <w:rsid w:val="00084249"/>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592D"/>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72A27"/>
    <w:rsid w:val="00180ACB"/>
    <w:rsid w:val="00181A6C"/>
    <w:rsid w:val="00182552"/>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002"/>
    <w:rsid w:val="002339D3"/>
    <w:rsid w:val="00234257"/>
    <w:rsid w:val="002348E0"/>
    <w:rsid w:val="00254E1A"/>
    <w:rsid w:val="00262555"/>
    <w:rsid w:val="002643C1"/>
    <w:rsid w:val="00265203"/>
    <w:rsid w:val="00270223"/>
    <w:rsid w:val="0027199E"/>
    <w:rsid w:val="00271D47"/>
    <w:rsid w:val="002721EA"/>
    <w:rsid w:val="002752BA"/>
    <w:rsid w:val="002761C6"/>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6AC9"/>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4647E"/>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DC5"/>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0F3A"/>
    <w:rsid w:val="0057306D"/>
    <w:rsid w:val="00573AE3"/>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03B44"/>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A6832"/>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59F"/>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2ED2"/>
    <w:rsid w:val="007F6769"/>
    <w:rsid w:val="008041D4"/>
    <w:rsid w:val="00806938"/>
    <w:rsid w:val="00807818"/>
    <w:rsid w:val="0081156A"/>
    <w:rsid w:val="00827398"/>
    <w:rsid w:val="008275B6"/>
    <w:rsid w:val="0083653E"/>
    <w:rsid w:val="008369DC"/>
    <w:rsid w:val="00842974"/>
    <w:rsid w:val="00842F87"/>
    <w:rsid w:val="00843A88"/>
    <w:rsid w:val="00843D2E"/>
    <w:rsid w:val="00847151"/>
    <w:rsid w:val="0085550A"/>
    <w:rsid w:val="008616EF"/>
    <w:rsid w:val="00863C25"/>
    <w:rsid w:val="008641B7"/>
    <w:rsid w:val="00864D80"/>
    <w:rsid w:val="00864DC1"/>
    <w:rsid w:val="00866DC2"/>
    <w:rsid w:val="00870530"/>
    <w:rsid w:val="008705BC"/>
    <w:rsid w:val="00871999"/>
    <w:rsid w:val="00872E27"/>
    <w:rsid w:val="00875A42"/>
    <w:rsid w:val="0088192C"/>
    <w:rsid w:val="008904A8"/>
    <w:rsid w:val="00891D94"/>
    <w:rsid w:val="00896589"/>
    <w:rsid w:val="008A0CEE"/>
    <w:rsid w:val="008A19AF"/>
    <w:rsid w:val="008A20FB"/>
    <w:rsid w:val="008A4D88"/>
    <w:rsid w:val="008C119C"/>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852"/>
    <w:rsid w:val="00936A01"/>
    <w:rsid w:val="00937713"/>
    <w:rsid w:val="009404E7"/>
    <w:rsid w:val="009409CD"/>
    <w:rsid w:val="0094759E"/>
    <w:rsid w:val="00952C13"/>
    <w:rsid w:val="0095455D"/>
    <w:rsid w:val="00962BF1"/>
    <w:rsid w:val="00963237"/>
    <w:rsid w:val="00966820"/>
    <w:rsid w:val="00971E57"/>
    <w:rsid w:val="009723CF"/>
    <w:rsid w:val="00972F46"/>
    <w:rsid w:val="00973D3A"/>
    <w:rsid w:val="009741DC"/>
    <w:rsid w:val="0097652A"/>
    <w:rsid w:val="00980037"/>
    <w:rsid w:val="00983B43"/>
    <w:rsid w:val="00984742"/>
    <w:rsid w:val="0099161D"/>
    <w:rsid w:val="00991B37"/>
    <w:rsid w:val="009A544B"/>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87E88"/>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3353C"/>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508"/>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938B3"/>
    <w:rsid w:val="00CA10F9"/>
    <w:rsid w:val="00CA14F4"/>
    <w:rsid w:val="00CA583F"/>
    <w:rsid w:val="00CA5844"/>
    <w:rsid w:val="00CA7415"/>
    <w:rsid w:val="00CB265C"/>
    <w:rsid w:val="00CB2BDD"/>
    <w:rsid w:val="00CB32BC"/>
    <w:rsid w:val="00CB4540"/>
    <w:rsid w:val="00CB4951"/>
    <w:rsid w:val="00CB7A07"/>
    <w:rsid w:val="00CC59BB"/>
    <w:rsid w:val="00CC5F68"/>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CF7124"/>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7B1"/>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6258"/>
    <w:rsid w:val="00EB7B0A"/>
    <w:rsid w:val="00EC0881"/>
    <w:rsid w:val="00EC74F9"/>
    <w:rsid w:val="00ED13DE"/>
    <w:rsid w:val="00ED1996"/>
    <w:rsid w:val="00ED2843"/>
    <w:rsid w:val="00ED2F55"/>
    <w:rsid w:val="00ED5ED8"/>
    <w:rsid w:val="00EE0C95"/>
    <w:rsid w:val="00EE3F0F"/>
    <w:rsid w:val="00EF0199"/>
    <w:rsid w:val="00EF2D23"/>
    <w:rsid w:val="00F0263C"/>
    <w:rsid w:val="00F0402A"/>
    <w:rsid w:val="00F07266"/>
    <w:rsid w:val="00F108F5"/>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6EF3"/>
    <w:rsid w:val="00F7709C"/>
    <w:rsid w:val="00F7750A"/>
    <w:rsid w:val="00F80006"/>
    <w:rsid w:val="00F80084"/>
    <w:rsid w:val="00F95676"/>
    <w:rsid w:val="00F96401"/>
    <w:rsid w:val="00F9690B"/>
    <w:rsid w:val="00FA3F8B"/>
    <w:rsid w:val="00FA56FF"/>
    <w:rsid w:val="00FA767D"/>
    <w:rsid w:val="00FB693B"/>
    <w:rsid w:val="00FC3C96"/>
    <w:rsid w:val="00FD0EB0"/>
    <w:rsid w:val="00FD1465"/>
    <w:rsid w:val="00FD2470"/>
    <w:rsid w:val="00FD5823"/>
    <w:rsid w:val="00FD7BE0"/>
    <w:rsid w:val="00FE1C27"/>
    <w:rsid w:val="00FE326F"/>
    <w:rsid w:val="00FE5C31"/>
    <w:rsid w:val="00FF0F20"/>
    <w:rsid w:val="00FF1B0E"/>
    <w:rsid w:val="00FF268A"/>
    <w:rsid w:val="00FF748B"/>
    <w:rsid w:val="02D4768E"/>
    <w:rsid w:val="041457E8"/>
    <w:rsid w:val="045559CC"/>
    <w:rsid w:val="05A85FE3"/>
    <w:rsid w:val="06631006"/>
    <w:rsid w:val="06A05C25"/>
    <w:rsid w:val="07584455"/>
    <w:rsid w:val="08B009EB"/>
    <w:rsid w:val="08EC4F18"/>
    <w:rsid w:val="099355AE"/>
    <w:rsid w:val="0A4E0677"/>
    <w:rsid w:val="0C9E75C1"/>
    <w:rsid w:val="0D612F67"/>
    <w:rsid w:val="0DC82110"/>
    <w:rsid w:val="0E8536A2"/>
    <w:rsid w:val="0E9E3446"/>
    <w:rsid w:val="0EBF440A"/>
    <w:rsid w:val="0F990090"/>
    <w:rsid w:val="0FC3607D"/>
    <w:rsid w:val="147A5E14"/>
    <w:rsid w:val="164A2B6A"/>
    <w:rsid w:val="1732777D"/>
    <w:rsid w:val="175A3EB4"/>
    <w:rsid w:val="17A1211B"/>
    <w:rsid w:val="1830456F"/>
    <w:rsid w:val="18ED7A84"/>
    <w:rsid w:val="1AEC1033"/>
    <w:rsid w:val="1BED4E7D"/>
    <w:rsid w:val="1C0020E8"/>
    <w:rsid w:val="1E006819"/>
    <w:rsid w:val="1F1FA109"/>
    <w:rsid w:val="1F4A2E8F"/>
    <w:rsid w:val="1F7E228D"/>
    <w:rsid w:val="1F915726"/>
    <w:rsid w:val="1F9A4AD4"/>
    <w:rsid w:val="214959F4"/>
    <w:rsid w:val="21864056"/>
    <w:rsid w:val="22E05E65"/>
    <w:rsid w:val="2483337D"/>
    <w:rsid w:val="2490389D"/>
    <w:rsid w:val="250769CF"/>
    <w:rsid w:val="259D45CC"/>
    <w:rsid w:val="26111D82"/>
    <w:rsid w:val="26DD6558"/>
    <w:rsid w:val="27E35A47"/>
    <w:rsid w:val="27FD4BA0"/>
    <w:rsid w:val="28B3315D"/>
    <w:rsid w:val="2AA01F44"/>
    <w:rsid w:val="2B7528AE"/>
    <w:rsid w:val="2BD92719"/>
    <w:rsid w:val="2C0126DC"/>
    <w:rsid w:val="2C1D25A1"/>
    <w:rsid w:val="2D62259A"/>
    <w:rsid w:val="2E1F2A86"/>
    <w:rsid w:val="2E2C7A19"/>
    <w:rsid w:val="2F530B70"/>
    <w:rsid w:val="2F8D26BD"/>
    <w:rsid w:val="31344D88"/>
    <w:rsid w:val="33640164"/>
    <w:rsid w:val="33DE5327"/>
    <w:rsid w:val="33DF11FD"/>
    <w:rsid w:val="343C3F0E"/>
    <w:rsid w:val="34480C48"/>
    <w:rsid w:val="34AF7FD2"/>
    <w:rsid w:val="35690D78"/>
    <w:rsid w:val="35895619"/>
    <w:rsid w:val="35C37DC3"/>
    <w:rsid w:val="371D15F5"/>
    <w:rsid w:val="37DFB5C0"/>
    <w:rsid w:val="389A0431"/>
    <w:rsid w:val="38FC1CB1"/>
    <w:rsid w:val="38FD340A"/>
    <w:rsid w:val="3A243E65"/>
    <w:rsid w:val="3AEF3E7A"/>
    <w:rsid w:val="3C2E730F"/>
    <w:rsid w:val="3C796807"/>
    <w:rsid w:val="3DA96416"/>
    <w:rsid w:val="3EDD04C4"/>
    <w:rsid w:val="406334F2"/>
    <w:rsid w:val="42916AC5"/>
    <w:rsid w:val="42DA35B6"/>
    <w:rsid w:val="43862855"/>
    <w:rsid w:val="43BA05EB"/>
    <w:rsid w:val="43FB34E3"/>
    <w:rsid w:val="45233708"/>
    <w:rsid w:val="452C7897"/>
    <w:rsid w:val="45392D94"/>
    <w:rsid w:val="45C61237"/>
    <w:rsid w:val="46D80540"/>
    <w:rsid w:val="47D9381D"/>
    <w:rsid w:val="481721B5"/>
    <w:rsid w:val="493F46D0"/>
    <w:rsid w:val="497B7CB3"/>
    <w:rsid w:val="4ABC7A01"/>
    <w:rsid w:val="4ACC5BD9"/>
    <w:rsid w:val="4B2D12E0"/>
    <w:rsid w:val="4B413C02"/>
    <w:rsid w:val="4BEB6B31"/>
    <w:rsid w:val="4C6F5AD6"/>
    <w:rsid w:val="4CFD344F"/>
    <w:rsid w:val="4D5048A0"/>
    <w:rsid w:val="4DA40DD2"/>
    <w:rsid w:val="4DB52955"/>
    <w:rsid w:val="4DD36371"/>
    <w:rsid w:val="4DEF1D73"/>
    <w:rsid w:val="4E8C71ED"/>
    <w:rsid w:val="4EFD2805"/>
    <w:rsid w:val="503A3817"/>
    <w:rsid w:val="50982285"/>
    <w:rsid w:val="50DC3489"/>
    <w:rsid w:val="51E942BF"/>
    <w:rsid w:val="52D92ACB"/>
    <w:rsid w:val="52E97AF8"/>
    <w:rsid w:val="53B4776F"/>
    <w:rsid w:val="541A71CC"/>
    <w:rsid w:val="546D0516"/>
    <w:rsid w:val="55313B39"/>
    <w:rsid w:val="55DF0A16"/>
    <w:rsid w:val="568330AC"/>
    <w:rsid w:val="579831C5"/>
    <w:rsid w:val="57FD1EBD"/>
    <w:rsid w:val="581B0D32"/>
    <w:rsid w:val="585D2567"/>
    <w:rsid w:val="58CB5ED1"/>
    <w:rsid w:val="599211F9"/>
    <w:rsid w:val="5AB8507A"/>
    <w:rsid w:val="5BA40C31"/>
    <w:rsid w:val="5CA67F0E"/>
    <w:rsid w:val="5CB70DE5"/>
    <w:rsid w:val="5CD92B33"/>
    <w:rsid w:val="5D742A91"/>
    <w:rsid w:val="5DED613B"/>
    <w:rsid w:val="5E2603C6"/>
    <w:rsid w:val="606C77EB"/>
    <w:rsid w:val="611D2418"/>
    <w:rsid w:val="62807AFE"/>
    <w:rsid w:val="63586547"/>
    <w:rsid w:val="64952F61"/>
    <w:rsid w:val="64A13E12"/>
    <w:rsid w:val="66A97C74"/>
    <w:rsid w:val="66FDF7DC"/>
    <w:rsid w:val="68B04D43"/>
    <w:rsid w:val="68BB7A69"/>
    <w:rsid w:val="693A6327"/>
    <w:rsid w:val="69786522"/>
    <w:rsid w:val="6B9E319B"/>
    <w:rsid w:val="6BDFAB0A"/>
    <w:rsid w:val="6C9F3448"/>
    <w:rsid w:val="6DF332FA"/>
    <w:rsid w:val="6E6957BE"/>
    <w:rsid w:val="6EEA3447"/>
    <w:rsid w:val="6F3631A1"/>
    <w:rsid w:val="6F742218"/>
    <w:rsid w:val="6F7FE37A"/>
    <w:rsid w:val="6FE7054D"/>
    <w:rsid w:val="6FE969BF"/>
    <w:rsid w:val="702552C0"/>
    <w:rsid w:val="711C4915"/>
    <w:rsid w:val="71D96859"/>
    <w:rsid w:val="721F31FE"/>
    <w:rsid w:val="730B244E"/>
    <w:rsid w:val="73CC0EE6"/>
    <w:rsid w:val="74D70DF7"/>
    <w:rsid w:val="75EE5E88"/>
    <w:rsid w:val="76B6276A"/>
    <w:rsid w:val="773FE678"/>
    <w:rsid w:val="77A52F9E"/>
    <w:rsid w:val="7860333A"/>
    <w:rsid w:val="789F3DA6"/>
    <w:rsid w:val="78A52377"/>
    <w:rsid w:val="791B2483"/>
    <w:rsid w:val="7A304654"/>
    <w:rsid w:val="7B5B7497"/>
    <w:rsid w:val="7C0E575E"/>
    <w:rsid w:val="7C97D028"/>
    <w:rsid w:val="7E5D029C"/>
    <w:rsid w:val="7E8C643C"/>
    <w:rsid w:val="7FDF8BFB"/>
    <w:rsid w:val="7FFA3A5E"/>
    <w:rsid w:val="BEDB8C67"/>
    <w:rsid w:val="BEF7357C"/>
    <w:rsid w:val="FDB96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8"/>
    <w:qFormat/>
    <w:uiPriority w:val="0"/>
    <w:pPr>
      <w:keepNext/>
      <w:keepLines/>
      <w:spacing w:before="260" w:after="260" w:line="413" w:lineRule="auto"/>
      <w:outlineLvl w:val="1"/>
    </w:pPr>
    <w:rPr>
      <w:rFonts w:ascii="Arial" w:hAnsi="Arial" w:eastAsia="黑体"/>
      <w:b/>
      <w:sz w:val="32"/>
    </w:rPr>
  </w:style>
  <w:style w:type="paragraph" w:styleId="4">
    <w:name w:val="heading 3"/>
    <w:basedOn w:val="2"/>
    <w:next w:val="1"/>
    <w:link w:val="69"/>
    <w:qFormat/>
    <w:uiPriority w:val="0"/>
    <w:pPr>
      <w:keepNext/>
      <w:keepLines/>
      <w:spacing w:before="260" w:after="260" w:line="413" w:lineRule="auto"/>
      <w:outlineLvl w:val="2"/>
    </w:pPr>
    <w:rPr>
      <w:b/>
      <w:sz w:val="32"/>
    </w:rPr>
  </w:style>
  <w:style w:type="paragraph" w:styleId="5">
    <w:name w:val="heading 4"/>
    <w:basedOn w:val="4"/>
    <w:next w:val="1"/>
    <w:qFormat/>
    <w:uiPriority w:val="0"/>
    <w:pPr>
      <w:keepNext/>
      <w:keepLines/>
      <w:spacing w:before="280" w:after="290" w:line="372" w:lineRule="auto"/>
      <w:outlineLvl w:val="3"/>
    </w:pPr>
    <w:rPr>
      <w:rFonts w:ascii="Arial" w:hAnsi="Arial" w:eastAsia="黑体"/>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unhideWhenUsed/>
    <w:qFormat/>
    <w:uiPriority w:val="1"/>
  </w:style>
  <w:style w:type="table" w:default="1" w:styleId="57">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0"/>
    <w:qFormat/>
    <w:uiPriority w:val="0"/>
    <w:pPr>
      <w:adjustRightInd w:val="0"/>
      <w:spacing w:line="360" w:lineRule="atLeast"/>
      <w:jc w:val="left"/>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23"/>
    <w:link w:val="238"/>
    <w:qFormat/>
    <w:uiPriority w:val="0"/>
    <w:rPr>
      <w:rFonts w:ascii="仿宋_GB2312" w:eastAsia="仿宋_GB2312"/>
      <w:sz w:val="32"/>
    </w:rPr>
  </w:style>
  <w:style w:type="paragraph" w:styleId="23">
    <w:name w:val="toc 5"/>
    <w:basedOn w:val="1"/>
    <w:next w:val="1"/>
    <w:qFormat/>
    <w:uiPriority w:val="0"/>
    <w:pPr>
      <w:ind w:left="1680" w:leftChars="800"/>
    </w:pPr>
  </w:style>
  <w:style w:type="paragraph" w:styleId="24">
    <w:name w:val="Body Text Indent"/>
    <w:basedOn w:val="1"/>
    <w:link w:val="7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3"/>
    <w:basedOn w:val="1"/>
    <w:next w:val="1"/>
    <w:qFormat/>
    <w:uiPriority w:val="39"/>
    <w:pPr>
      <w:ind w:left="840" w:leftChars="400"/>
    </w:pPr>
  </w:style>
  <w:style w:type="paragraph" w:styleId="30">
    <w:name w:val="Plain Text"/>
    <w:basedOn w:val="1"/>
    <w:next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2"/>
    <w:qFormat/>
    <w:uiPriority w:val="0"/>
  </w:style>
  <w:style w:type="paragraph" w:styleId="33">
    <w:name w:val="Body Text Indent 2"/>
    <w:basedOn w:val="1"/>
    <w:link w:val="73"/>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next w:val="22"/>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4"/>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kern w:val="28"/>
      <w:sz w:val="36"/>
      <w:lang w:eastAsia="en-US"/>
    </w:rPr>
  </w:style>
  <w:style w:type="paragraph" w:styleId="54">
    <w:name w:val="annotation subject"/>
    <w:basedOn w:val="19"/>
    <w:next w:val="19"/>
    <w:link w:val="75"/>
    <w:qFormat/>
    <w:uiPriority w:val="0"/>
    <w:pPr>
      <w:adjustRightInd/>
      <w:spacing w:line="240" w:lineRule="auto"/>
    </w:pPr>
  </w:style>
  <w:style w:type="paragraph" w:styleId="55">
    <w:name w:val="Body Text First Indent"/>
    <w:basedOn w:val="22"/>
    <w:qFormat/>
    <w:uiPriority w:val="0"/>
    <w:pPr>
      <w:spacing w:line="360" w:lineRule="auto"/>
      <w:ind w:firstLine="420"/>
    </w:pPr>
    <w:rPr>
      <w:rFonts w:ascii="宋体" w:hAnsi="宋体"/>
      <w:sz w:val="24"/>
    </w:rPr>
  </w:style>
  <w:style w:type="paragraph" w:styleId="56">
    <w:name w:val="Body Text First Indent 2"/>
    <w:basedOn w:val="24"/>
    <w:link w:val="76"/>
    <w:qFormat/>
    <w:uiPriority w:val="0"/>
    <w:pPr>
      <w:spacing w:after="12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标书正文1"/>
    <w:basedOn w:val="1"/>
    <w:qFormat/>
    <w:uiPriority w:val="0"/>
    <w:pPr>
      <w:spacing w:line="520" w:lineRule="exact"/>
      <w:ind w:firstLine="640" w:firstLineChars="200"/>
    </w:pPr>
  </w:style>
  <w:style w:type="character" w:customStyle="1" w:styleId="68">
    <w:name w:val="标题 2 Char"/>
    <w:link w:val="3"/>
    <w:qFormat/>
    <w:uiPriority w:val="0"/>
    <w:rPr>
      <w:rFonts w:ascii="Arial" w:hAnsi="Arial" w:eastAsia="黑体"/>
      <w:b/>
      <w:kern w:val="2"/>
      <w:sz w:val="32"/>
    </w:rPr>
  </w:style>
  <w:style w:type="character" w:customStyle="1" w:styleId="69">
    <w:name w:val="标题 3 Char"/>
    <w:link w:val="4"/>
    <w:qFormat/>
    <w:uiPriority w:val="0"/>
    <w:rPr>
      <w:rFonts w:eastAsia="宋体"/>
      <w:b/>
      <w:kern w:val="2"/>
      <w:sz w:val="32"/>
      <w:lang w:val="en-US" w:eastAsia="zh-CN"/>
    </w:rPr>
  </w:style>
  <w:style w:type="character" w:customStyle="1" w:styleId="70">
    <w:name w:val="批注文字 Char"/>
    <w:link w:val="19"/>
    <w:qFormat/>
    <w:uiPriority w:val="0"/>
    <w:rPr>
      <w:sz w:val="24"/>
    </w:rPr>
  </w:style>
  <w:style w:type="character" w:customStyle="1" w:styleId="71">
    <w:name w:val="正文文本缩进 Char"/>
    <w:link w:val="24"/>
    <w:qFormat/>
    <w:uiPriority w:val="0"/>
    <w:rPr>
      <w:kern w:val="2"/>
      <w:sz w:val="44"/>
    </w:rPr>
  </w:style>
  <w:style w:type="character" w:customStyle="1" w:styleId="72">
    <w:name w:val="日期 Char"/>
    <w:link w:val="32"/>
    <w:qFormat/>
    <w:uiPriority w:val="0"/>
    <w:rPr>
      <w:kern w:val="2"/>
      <w:sz w:val="28"/>
    </w:rPr>
  </w:style>
  <w:style w:type="character" w:customStyle="1" w:styleId="73">
    <w:name w:val="正文文本缩进 2 Char"/>
    <w:link w:val="33"/>
    <w:qFormat/>
    <w:uiPriority w:val="0"/>
    <w:rPr>
      <w:kern w:val="2"/>
      <w:sz w:val="28"/>
    </w:rPr>
  </w:style>
  <w:style w:type="character" w:customStyle="1" w:styleId="74">
    <w:name w:val="脚注文本 Char"/>
    <w:link w:val="40"/>
    <w:qFormat/>
    <w:uiPriority w:val="0"/>
    <w:rPr>
      <w:kern w:val="2"/>
      <w:sz w:val="18"/>
    </w:rPr>
  </w:style>
  <w:style w:type="character" w:customStyle="1" w:styleId="75">
    <w:name w:val="批注主题 Char"/>
    <w:link w:val="54"/>
    <w:qFormat/>
    <w:uiPriority w:val="0"/>
  </w:style>
  <w:style w:type="character" w:customStyle="1" w:styleId="76">
    <w:name w:val="正文首行缩进 2 Char"/>
    <w:link w:val="56"/>
    <w:qFormat/>
    <w:uiPriority w:val="0"/>
  </w:style>
  <w:style w:type="character" w:customStyle="1" w:styleId="77">
    <w:name w:val="v151"/>
    <w:qFormat/>
    <w:uiPriority w:val="0"/>
    <w:rPr>
      <w:sz w:val="18"/>
    </w:rPr>
  </w:style>
  <w:style w:type="character" w:customStyle="1" w:styleId="78">
    <w:name w:val="Char Char7"/>
    <w:qFormat/>
    <w:uiPriority w:val="0"/>
    <w:rPr>
      <w:rFonts w:ascii="宋体" w:hAnsi="宋体" w:eastAsia="宋体"/>
      <w:kern w:val="2"/>
      <w:sz w:val="28"/>
    </w:rPr>
  </w:style>
  <w:style w:type="character" w:customStyle="1" w:styleId="79">
    <w:name w:val="小 Char"/>
    <w:qFormat/>
    <w:uiPriority w:val="0"/>
    <w:rPr>
      <w:rFonts w:ascii="宋体" w:hAnsi="Courier New" w:eastAsia="宋体"/>
      <w:kern w:val="2"/>
      <w:sz w:val="21"/>
      <w:lang w:val="en-US" w:eastAsia="zh-CN" w:bidi="ar-SA"/>
    </w:rPr>
  </w:style>
  <w:style w:type="character" w:customStyle="1" w:styleId="80">
    <w:name w:val="文字 Char"/>
    <w:link w:val="81"/>
    <w:qFormat/>
    <w:uiPriority w:val="0"/>
    <w:rPr>
      <w:rFonts w:ascii="宋体"/>
      <w:kern w:val="2"/>
      <w:sz w:val="28"/>
    </w:rPr>
  </w:style>
  <w:style w:type="paragraph" w:customStyle="1" w:styleId="81">
    <w:name w:val="文字"/>
    <w:basedOn w:val="1"/>
    <w:link w:val="80"/>
    <w:qFormat/>
    <w:uiPriority w:val="0"/>
    <w:pPr>
      <w:tabs>
        <w:tab w:val="left" w:pos="8520"/>
      </w:tabs>
      <w:spacing w:line="312" w:lineRule="auto"/>
      <w:ind w:right="-210" w:firstLine="556"/>
    </w:pPr>
    <w:rPr>
      <w:rFonts w:ascii="宋体"/>
    </w:rPr>
  </w:style>
  <w:style w:type="character" w:customStyle="1" w:styleId="82">
    <w:name w:val="content-white1"/>
    <w:qFormat/>
    <w:uiPriority w:val="0"/>
    <w:rPr>
      <w:rFonts w:ascii="_x000B__x000C_" w:hAnsi="_x000B__x000C_"/>
      <w:color w:val="auto"/>
      <w:sz w:val="18"/>
      <w:u w:val="none"/>
    </w:rPr>
  </w:style>
  <w:style w:type="character" w:customStyle="1" w:styleId="83">
    <w:name w:val="正文 + 三号 Char"/>
    <w:qFormat/>
    <w:uiPriority w:val="0"/>
    <w:rPr>
      <w:rFonts w:eastAsia="宋体"/>
      <w:kern w:val="2"/>
      <w:sz w:val="21"/>
      <w:lang w:val="en-US" w:eastAsia="zh-CN"/>
    </w:rPr>
  </w:style>
  <w:style w:type="character" w:customStyle="1" w:styleId="84">
    <w:name w:val="H2 Char"/>
    <w:qFormat/>
    <w:uiPriority w:val="0"/>
    <w:rPr>
      <w:rFonts w:ascii="Arial" w:hAnsi="Arial" w:eastAsia="宋体"/>
      <w:kern w:val="2"/>
      <w:sz w:val="28"/>
      <w:lang w:val="en-US" w:eastAsia="zh-CN"/>
    </w:rPr>
  </w:style>
  <w:style w:type="character" w:customStyle="1" w:styleId="85">
    <w:name w:val="Char Char3"/>
    <w:qFormat/>
    <w:uiPriority w:val="0"/>
    <w:rPr>
      <w:rFonts w:eastAsia="宋体"/>
      <w:kern w:val="2"/>
      <w:sz w:val="18"/>
      <w:lang w:val="en-US" w:eastAsia="zh-CN"/>
    </w:rPr>
  </w:style>
  <w:style w:type="character" w:customStyle="1" w:styleId="86">
    <w:name w:val="Char Char4"/>
    <w:qFormat/>
    <w:uiPriority w:val="0"/>
    <w:rPr>
      <w:rFonts w:eastAsia="宋体"/>
      <w:b/>
      <w:kern w:val="2"/>
      <w:sz w:val="21"/>
      <w:lang w:val="en-US" w:eastAsia="zh-CN"/>
    </w:rPr>
  </w:style>
  <w:style w:type="character" w:customStyle="1" w:styleId="87">
    <w:name w:val="Table Text Char1 Char"/>
    <w:qFormat/>
    <w:uiPriority w:val="0"/>
    <w:rPr>
      <w:rFonts w:ascii="Arial" w:hAnsi="Arial"/>
      <w:kern w:val="2"/>
      <w:sz w:val="18"/>
      <w:lang w:val="en-US" w:eastAsia="zh-CN" w:bidi="ar-SA"/>
    </w:rPr>
  </w:style>
  <w:style w:type="character" w:customStyle="1" w:styleId="88">
    <w:name w:val="Char Char5"/>
    <w:qFormat/>
    <w:uiPriority w:val="0"/>
    <w:rPr>
      <w:rFonts w:ascii="Arial" w:hAnsi="Arial" w:eastAsia="宋体"/>
      <w:b/>
      <w:kern w:val="28"/>
      <w:sz w:val="36"/>
      <w:lang w:val="en-US" w:eastAsia="en-US"/>
    </w:rPr>
  </w:style>
  <w:style w:type="character" w:customStyle="1" w:styleId="89">
    <w:name w:val="Char Char"/>
    <w:qFormat/>
    <w:uiPriority w:val="0"/>
    <w:rPr>
      <w:rFonts w:ascii="宋体" w:hAnsi="宋体" w:eastAsia="宋体"/>
      <w:kern w:val="2"/>
      <w:sz w:val="24"/>
      <w:lang w:val="en-US" w:eastAsia="zh-CN" w:bidi="ar-SA"/>
    </w:rPr>
  </w:style>
  <w:style w:type="character" w:customStyle="1" w:styleId="90">
    <w:name w:val="Table Heading Char Char"/>
    <w:qFormat/>
    <w:uiPriority w:val="0"/>
    <w:rPr>
      <w:rFonts w:ascii="Arial" w:hAnsi="Arial" w:eastAsia="黑体"/>
      <w:kern w:val="2"/>
      <w:sz w:val="18"/>
      <w:lang w:val="en-US" w:eastAsia="zh-CN"/>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able Text Char"/>
    <w:link w:val="94"/>
    <w:qFormat/>
    <w:uiPriority w:val="0"/>
    <w:rPr>
      <w:rFonts w:ascii="Arial" w:hAnsi="Arial"/>
      <w:kern w:val="2"/>
      <w:sz w:val="18"/>
      <w:lang w:val="en-US" w:eastAsia="zh-CN" w:bidi="ar-SA"/>
    </w:rPr>
  </w:style>
  <w:style w:type="paragraph" w:customStyle="1" w:styleId="94">
    <w:name w:val="Table Text"/>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Char Char2"/>
    <w:qFormat/>
    <w:uiPriority w:val="0"/>
    <w:rPr>
      <w:rFonts w:eastAsia="宋体"/>
      <w:kern w:val="2"/>
      <w:sz w:val="18"/>
      <w:lang w:val="en-US" w:eastAsia="zh-CN"/>
    </w:rPr>
  </w:style>
  <w:style w:type="character" w:customStyle="1" w:styleId="96">
    <w:name w:val="标书正文:  0.74 厘米 Char1"/>
    <w:qFormat/>
    <w:uiPriority w:val="0"/>
    <w:rPr>
      <w:rFonts w:eastAsia="宋体"/>
      <w:kern w:val="2"/>
      <w:sz w:val="24"/>
      <w:lang w:val="en-US" w:eastAsia="zh-CN"/>
    </w:rPr>
  </w:style>
  <w:style w:type="character" w:customStyle="1" w:styleId="97">
    <w:name w:val="样式 宋体"/>
    <w:qFormat/>
    <w:uiPriority w:val="0"/>
    <w:rPr>
      <w:rFonts w:ascii="宋体" w:hAnsi="宋体" w:eastAsia="宋体"/>
      <w:sz w:val="28"/>
    </w:rPr>
  </w:style>
  <w:style w:type="character" w:customStyle="1" w:styleId="98">
    <w:name w:val="未命名11"/>
    <w:qFormat/>
    <w:uiPriority w:val="0"/>
    <w:rPr>
      <w:color w:val="77FFFF"/>
      <w:sz w:val="24"/>
    </w:rPr>
  </w:style>
  <w:style w:type="character" w:customStyle="1" w:styleId="99">
    <w:name w:val="crowed11"/>
    <w:qFormat/>
    <w:uiPriority w:val="0"/>
    <w:rPr>
      <w:rFonts w:hint="default" w:ascii="_x000B__x000C_" w:hAnsi="_x000B__x000C_"/>
      <w:sz w:val="24"/>
    </w:rPr>
  </w:style>
  <w:style w:type="character" w:customStyle="1" w:styleId="100">
    <w:name w:val="Char Char6"/>
    <w:qFormat/>
    <w:uiPriority w:val="0"/>
    <w:rPr>
      <w:rFonts w:ascii="仿宋_GB2312" w:eastAsia="仿宋_GB2312"/>
      <w:kern w:val="2"/>
      <w:sz w:val="32"/>
    </w:rPr>
  </w:style>
  <w:style w:type="character" w:customStyle="1" w:styleId="101">
    <w:name w:val="title_emph1"/>
    <w:qFormat/>
    <w:uiPriority w:val="0"/>
    <w:rPr>
      <w:rFonts w:hint="default" w:ascii="Arial" w:hAnsi="Arial"/>
      <w:b/>
      <w:sz w:val="20"/>
    </w:rPr>
  </w:style>
  <w:style w:type="character" w:customStyle="1" w:styleId="102">
    <w:name w:val="font1"/>
    <w:qFormat/>
    <w:uiPriority w:val="0"/>
    <w:rPr>
      <w:color w:val="000000"/>
      <w:sz w:val="18"/>
    </w:rPr>
  </w:style>
  <w:style w:type="character" w:customStyle="1" w:styleId="103">
    <w:name w:val="Char Char11"/>
    <w:qFormat/>
    <w:uiPriority w:val="0"/>
    <w:rPr>
      <w:rFonts w:ascii="宋体"/>
      <w:kern w:val="2"/>
      <w:sz w:val="28"/>
    </w:rPr>
  </w:style>
  <w:style w:type="character" w:customStyle="1" w:styleId="104">
    <w:name w:val="top-det1"/>
    <w:qFormat/>
    <w:uiPriority w:val="0"/>
    <w:rPr>
      <w:b/>
      <w:color w:val="000000"/>
    </w:rPr>
  </w:style>
  <w:style w:type="paragraph" w:customStyle="1" w:styleId="105">
    <w:name w:val="二级列表"/>
    <w:basedOn w:val="106"/>
    <w:qFormat/>
    <w:uiPriority w:val="0"/>
    <w:pPr>
      <w:tabs>
        <w:tab w:val="left" w:pos="2120"/>
      </w:tabs>
      <w:ind w:firstLine="0" w:firstLineChars="0"/>
    </w:pPr>
    <w:rPr>
      <w:b/>
    </w:rPr>
  </w:style>
  <w:style w:type="paragraph" w:customStyle="1" w:styleId="106">
    <w:name w:val="段落正文"/>
    <w:basedOn w:val="1"/>
    <w:qFormat/>
    <w:uiPriority w:val="0"/>
    <w:pPr>
      <w:spacing w:before="156" w:beforeLines="50" w:line="360" w:lineRule="auto"/>
      <w:ind w:firstLine="200" w:firstLineChars="200"/>
    </w:pPr>
    <w:rPr>
      <w:spacing w:val="2"/>
      <w:sz w:val="24"/>
    </w:rPr>
  </w:style>
  <w:style w:type="paragraph" w:customStyle="1" w:styleId="107">
    <w:name w:val="标题3——2"/>
    <w:basedOn w:val="4"/>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08">
    <w:name w:val="文本1"/>
    <w:basedOn w:val="1"/>
    <w:qFormat/>
    <w:uiPriority w:val="0"/>
    <w:pPr>
      <w:adjustRightInd w:val="0"/>
      <w:spacing w:line="312" w:lineRule="atLeast"/>
      <w:jc w:val="center"/>
    </w:pPr>
    <w:rPr>
      <w:kern w:val="0"/>
      <w:sz w:val="18"/>
    </w:rPr>
  </w:style>
  <w:style w:type="paragraph" w:customStyle="1" w:styleId="109">
    <w:name w:val="Title - Revision"/>
    <w:basedOn w:val="53"/>
    <w:qFormat/>
    <w:uiPriority w:val="0"/>
    <w:pPr>
      <w:spacing w:before="720"/>
    </w:pPr>
  </w:style>
  <w:style w:type="paragraph" w:customStyle="1" w:styleId="1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1">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12">
    <w:name w:val="二级条标题"/>
    <w:basedOn w:val="113"/>
    <w:qFormat/>
    <w:uiPriority w:val="0"/>
    <w:pPr>
      <w:ind w:left="840"/>
      <w:outlineLvl w:val="3"/>
    </w:pPr>
  </w:style>
  <w:style w:type="paragraph" w:customStyle="1" w:styleId="113">
    <w:name w:val="一级条标题"/>
    <w:basedOn w:val="114"/>
    <w:qFormat/>
    <w:uiPriority w:val="0"/>
    <w:pPr>
      <w:numPr>
        <w:numId w:val="0"/>
      </w:numPr>
      <w:spacing w:before="0" w:beforeLines="0" w:after="0" w:afterLines="0"/>
      <w:ind w:left="525"/>
      <w:outlineLvl w:val="2"/>
    </w:pPr>
    <w:rPr>
      <w:sz w:val="21"/>
    </w:rPr>
  </w:style>
  <w:style w:type="paragraph" w:customStyle="1" w:styleId="114">
    <w:name w:val="章标题"/>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6">
    <w:name w:val="1.正文"/>
    <w:basedOn w:val="1"/>
    <w:qFormat/>
    <w:uiPriority w:val="0"/>
    <w:pPr>
      <w:spacing w:line="360" w:lineRule="auto"/>
      <w:ind w:left="540" w:leftChars="225" w:firstLine="540" w:firstLineChars="225"/>
    </w:pPr>
    <w:rPr>
      <w:sz w:val="24"/>
    </w:rPr>
  </w:style>
  <w:style w:type="paragraph" w:customStyle="1" w:styleId="11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
    <w:name w:val="编号正文"/>
    <w:basedOn w:val="119"/>
    <w:qFormat/>
    <w:uiPriority w:val="0"/>
    <w:pPr>
      <w:snapToGrid/>
      <w:spacing w:line="360" w:lineRule="auto"/>
      <w:ind w:left="1407" w:hanging="1047"/>
      <w:jc w:val="left"/>
    </w:pPr>
    <w:rPr>
      <w:rFonts w:eastAsia="仿宋_GB2312"/>
    </w:rPr>
  </w:style>
  <w:style w:type="paragraph" w:customStyle="1" w:styleId="119">
    <w:name w:val="文档正文"/>
    <w:basedOn w:val="1"/>
    <w:qFormat/>
    <w:uiPriority w:val="0"/>
    <w:pPr>
      <w:adjustRightInd w:val="0"/>
      <w:snapToGrid w:val="0"/>
      <w:spacing w:line="440" w:lineRule="exact"/>
      <w:ind w:firstLine="567"/>
    </w:pPr>
    <w:rPr>
      <w:rFonts w:ascii="Arial Narrow" w:hAnsi="Arial Narrow"/>
      <w:kern w:val="0"/>
      <w:sz w:val="24"/>
    </w:rPr>
  </w:style>
  <w:style w:type="paragraph" w:customStyle="1" w:styleId="120">
    <w:name w:val="样式3"/>
    <w:basedOn w:val="2"/>
    <w:qFormat/>
    <w:uiPriority w:val="0"/>
    <w:pPr>
      <w:keepLines/>
      <w:adjustRightInd w:val="0"/>
      <w:spacing w:before="340" w:after="330" w:line="576" w:lineRule="auto"/>
    </w:pPr>
    <w:rPr>
      <w:rFonts w:ascii="Times New Roman" w:eastAsia="黑体"/>
      <w:b/>
      <w:kern w:val="44"/>
      <w:sz w:val="44"/>
    </w:rPr>
  </w:style>
  <w:style w:type="paragraph" w:customStyle="1" w:styleId="12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22">
    <w:name w:val="默认段落字体 Para Char Char Char Char Char Char Char Char Char1 Char Char Char Char"/>
    <w:basedOn w:val="1"/>
    <w:qFormat/>
    <w:uiPriority w:val="0"/>
    <w:rPr>
      <w:rFonts w:ascii="Tahoma" w:hAnsi="Tahoma"/>
      <w:sz w:val="24"/>
    </w:rPr>
  </w:style>
  <w:style w:type="paragraph" w:customStyle="1" w:styleId="12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5">
    <w:name w:val="Char Char14 Char Char"/>
    <w:basedOn w:val="1"/>
    <w:qFormat/>
    <w:uiPriority w:val="0"/>
    <w:rPr>
      <w:sz w:val="21"/>
      <w:szCs w:val="24"/>
    </w:rPr>
  </w:style>
  <w:style w:type="paragraph" w:customStyle="1" w:styleId="126">
    <w:name w:val="Char Char Char Char Char"/>
    <w:basedOn w:val="1"/>
    <w:qFormat/>
    <w:uiPriority w:val="0"/>
    <w:pPr>
      <w:tabs>
        <w:tab w:val="left" w:pos="425"/>
      </w:tabs>
      <w:ind w:left="1620" w:hanging="360"/>
    </w:pPr>
    <w:rPr>
      <w:rFonts w:ascii="Tahoma" w:hAnsi="Tahoma"/>
      <w:sz w:val="24"/>
    </w:rPr>
  </w:style>
  <w:style w:type="paragraph" w:customStyle="1" w:styleId="127">
    <w:name w:val="Char2 Char Char Char Char Char Char"/>
    <w:basedOn w:val="1"/>
    <w:qFormat/>
    <w:uiPriority w:val="0"/>
    <w:rPr>
      <w:rFonts w:ascii="仿宋_GB2312"/>
      <w:b/>
      <w:sz w:val="30"/>
    </w:rPr>
  </w:style>
  <w:style w:type="paragraph" w:customStyle="1" w:styleId="128">
    <w:name w:val="_Style 126"/>
    <w:qFormat/>
    <w:uiPriority w:val="0"/>
    <w:rPr>
      <w:rFonts w:ascii="Times New Roman" w:hAnsi="Times New Roman" w:eastAsia="宋体" w:cs="Times New Roman"/>
      <w:kern w:val="2"/>
      <w:sz w:val="21"/>
      <w:lang w:val="en-US" w:eastAsia="zh-CN" w:bidi="ar-SA"/>
    </w:rPr>
  </w:style>
  <w:style w:type="paragraph" w:customStyle="1" w:styleId="129">
    <w:name w:val="正文格式 Char"/>
    <w:basedOn w:val="1"/>
    <w:qFormat/>
    <w:uiPriority w:val="0"/>
    <w:pPr>
      <w:widowControl/>
      <w:adjustRightInd w:val="0"/>
      <w:spacing w:line="440" w:lineRule="atLeast"/>
      <w:ind w:firstLine="510"/>
    </w:pPr>
    <w:rPr>
      <w:kern w:val="0"/>
      <w:sz w:val="24"/>
    </w:rPr>
  </w:style>
  <w:style w:type="paragraph" w:customStyle="1" w:styleId="130">
    <w:name w:val="正文 + 三号"/>
    <w:basedOn w:val="1"/>
    <w:qFormat/>
    <w:uiPriority w:val="0"/>
    <w:rPr>
      <w:sz w:val="21"/>
    </w:rPr>
  </w:style>
  <w:style w:type="paragraph" w:customStyle="1" w:styleId="131">
    <w:name w:val="样式 首行缩进:  0.74 厘米"/>
    <w:basedOn w:val="1"/>
    <w:qFormat/>
    <w:uiPriority w:val="0"/>
    <w:pPr>
      <w:spacing w:line="360" w:lineRule="auto"/>
      <w:ind w:firstLine="420"/>
    </w:pPr>
    <w:rPr>
      <w:sz w:val="24"/>
    </w:rPr>
  </w:style>
  <w:style w:type="paragraph" w:customStyle="1" w:styleId="132">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33">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5">
    <w:name w:val="Table Contents"/>
    <w:basedOn w:val="22"/>
    <w:qFormat/>
    <w:uiPriority w:val="0"/>
    <w:pPr>
      <w:suppressAutoHyphens/>
      <w:jc w:val="left"/>
    </w:pPr>
    <w:rPr>
      <w:rFonts w:ascii="Times New Roman" w:eastAsia="Times New Roman"/>
      <w:kern w:val="0"/>
      <w:sz w:val="24"/>
    </w:rPr>
  </w:style>
  <w:style w:type="paragraph" w:customStyle="1" w:styleId="136">
    <w:name w:val="表格文本"/>
    <w:qFormat/>
    <w:uiPriority w:val="0"/>
    <w:pPr>
      <w:tabs>
        <w:tab w:val="decimal" w:pos="0"/>
      </w:tabs>
    </w:pPr>
    <w:rPr>
      <w:rFonts w:ascii="Arial" w:hAnsi="Arial" w:eastAsia="宋体" w:cs="Times New Roman"/>
      <w:sz w:val="21"/>
      <w:lang w:val="en-US" w:eastAsia="zh-CN" w:bidi="ar-SA"/>
    </w:rPr>
  </w:style>
  <w:style w:type="paragraph" w:customStyle="1" w:styleId="137">
    <w:name w:val="Char Char Char Char Char Char Char"/>
    <w:basedOn w:val="1"/>
    <w:qFormat/>
    <w:uiPriority w:val="0"/>
    <w:rPr>
      <w:rFonts w:ascii="Tahoma" w:hAnsi="Tahoma"/>
      <w:sz w:val="24"/>
    </w:rPr>
  </w:style>
  <w:style w:type="paragraph" w:customStyle="1" w:styleId="138">
    <w:name w:val="样式2"/>
    <w:basedOn w:val="5"/>
    <w:qFormat/>
    <w:uiPriority w:val="0"/>
    <w:pPr>
      <w:numPr>
        <w:ilvl w:val="0"/>
        <w:numId w:val="6"/>
      </w:numPr>
      <w:spacing w:before="560" w:line="400" w:lineRule="exact"/>
      <w:jc w:val="center"/>
      <w:outlineLvl w:val="0"/>
    </w:pPr>
    <w:rPr>
      <w:b w:val="0"/>
      <w:sz w:val="44"/>
    </w:rPr>
  </w:style>
  <w:style w:type="paragraph" w:customStyle="1" w:styleId="139">
    <w:name w:val="内容标题"/>
    <w:basedOn w:val="17"/>
    <w:qFormat/>
    <w:uiPriority w:val="0"/>
    <w:rPr>
      <w:rFonts w:ascii="Tahoma" w:hAnsi="Tahoma"/>
      <w:sz w:val="24"/>
    </w:rPr>
  </w:style>
  <w:style w:type="paragraph" w:customStyle="1" w:styleId="14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1">
    <w:name w:val="1"/>
    <w:basedOn w:val="1"/>
    <w:qFormat/>
    <w:uiPriority w:val="0"/>
    <w:rPr>
      <w:rFonts w:ascii="宋体" w:hAnsi="Courier New"/>
      <w:sz w:val="21"/>
    </w:rPr>
  </w:style>
  <w:style w:type="paragraph" w:customStyle="1" w:styleId="142">
    <w:name w:val="列表项目"/>
    <w:basedOn w:val="1"/>
    <w:qFormat/>
    <w:uiPriority w:val="0"/>
    <w:pPr>
      <w:tabs>
        <w:tab w:val="left" w:pos="420"/>
      </w:tabs>
      <w:spacing w:line="288" w:lineRule="auto"/>
      <w:ind w:left="840" w:leftChars="200" w:hanging="420" w:hangingChars="200"/>
    </w:pPr>
    <w:rPr>
      <w:sz w:val="21"/>
    </w:rPr>
  </w:style>
  <w:style w:type="paragraph" w:customStyle="1" w:styleId="14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4">
    <w:name w:val="Char Char Char Char Char Char Char1"/>
    <w:basedOn w:val="17"/>
    <w:qFormat/>
    <w:uiPriority w:val="0"/>
    <w:rPr>
      <w:rFonts w:ascii="宋体" w:hAnsi="Tahoma"/>
    </w:rPr>
  </w:style>
  <w:style w:type="paragraph" w:customStyle="1" w:styleId="145">
    <w:name w:val="样式 标题 6第五层条 + 三号 段前: 0.5 行"/>
    <w:basedOn w:val="7"/>
    <w:qFormat/>
    <w:uiPriority w:val="0"/>
    <w:pPr>
      <w:widowControl/>
      <w:adjustRightInd/>
      <w:snapToGrid/>
      <w:spacing w:before="156" w:beforeLines="50"/>
      <w:jc w:val="left"/>
    </w:pPr>
    <w:rPr>
      <w:kern w:val="24"/>
      <w:sz w:val="28"/>
    </w:rPr>
  </w:style>
  <w:style w:type="paragraph" w:customStyle="1" w:styleId="14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7">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48">
    <w:name w:val="样式 行距: 1.5 倍行距1"/>
    <w:basedOn w:val="1"/>
    <w:qFormat/>
    <w:uiPriority w:val="0"/>
    <w:pPr>
      <w:snapToGrid w:val="0"/>
    </w:pPr>
    <w:rPr>
      <w:sz w:val="21"/>
    </w:rPr>
  </w:style>
  <w:style w:type="paragraph" w:customStyle="1" w:styleId="14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0">
    <w:name w:val="00"/>
    <w:basedOn w:val="1"/>
    <w:qFormat/>
    <w:uiPriority w:val="0"/>
    <w:pPr>
      <w:autoSpaceDE w:val="0"/>
      <w:autoSpaceDN w:val="0"/>
      <w:adjustRightInd w:val="0"/>
      <w:jc w:val="left"/>
    </w:pPr>
    <w:rPr>
      <w:rFonts w:ascii="黑体" w:eastAsia="黑体"/>
      <w:b/>
      <w:kern w:val="0"/>
      <w:sz w:val="20"/>
    </w:rPr>
  </w:style>
  <w:style w:type="paragraph" w:customStyle="1" w:styleId="15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5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4">
    <w:name w:val="标准正文"/>
    <w:basedOn w:val="24"/>
    <w:qFormat/>
    <w:uiPriority w:val="0"/>
    <w:pPr>
      <w:spacing w:before="60" w:after="60" w:line="360" w:lineRule="auto"/>
      <w:ind w:left="0" w:firstLine="482"/>
    </w:pPr>
    <w:rPr>
      <w:rFonts w:ascii="Arial" w:hAnsi="Arial"/>
      <w:sz w:val="24"/>
    </w:rPr>
  </w:style>
  <w:style w:type="paragraph" w:customStyle="1" w:styleId="155">
    <w:name w:val="正文文本 21"/>
    <w:basedOn w:val="1"/>
    <w:qFormat/>
    <w:uiPriority w:val="0"/>
    <w:pPr>
      <w:adjustRightInd w:val="0"/>
      <w:spacing w:before="120" w:line="360" w:lineRule="auto"/>
      <w:ind w:firstLine="480"/>
    </w:pPr>
    <w:rPr>
      <w:sz w:val="24"/>
    </w:rPr>
  </w:style>
  <w:style w:type="paragraph" w:customStyle="1" w:styleId="156">
    <w:name w:val="样式1"/>
    <w:basedOn w:val="5"/>
    <w:qFormat/>
    <w:uiPriority w:val="0"/>
    <w:pPr>
      <w:tabs>
        <w:tab w:val="left" w:pos="720"/>
      </w:tabs>
      <w:spacing w:before="500" w:after="260" w:line="560" w:lineRule="atLeast"/>
      <w:ind w:left="420" w:hanging="420"/>
    </w:pPr>
  </w:style>
  <w:style w:type="paragraph" w:customStyle="1" w:styleId="157">
    <w:name w:val="正文4"/>
    <w:basedOn w:val="1"/>
    <w:qFormat/>
    <w:uiPriority w:val="0"/>
    <w:pPr>
      <w:tabs>
        <w:tab w:val="left" w:pos="1275"/>
      </w:tabs>
      <w:spacing w:before="60" w:after="60" w:line="360" w:lineRule="auto"/>
      <w:ind w:left="820" w:leftChars="400" w:hanging="705"/>
    </w:pPr>
    <w:rPr>
      <w:sz w:val="24"/>
    </w:rPr>
  </w:style>
  <w:style w:type="paragraph" w:customStyle="1" w:styleId="15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59">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60">
    <w:name w:val="文本框样式1"/>
    <w:basedOn w:val="1"/>
    <w:qFormat/>
    <w:uiPriority w:val="0"/>
    <w:pPr>
      <w:adjustRightInd w:val="0"/>
      <w:snapToGrid w:val="0"/>
      <w:spacing w:before="60" w:line="180" w:lineRule="exact"/>
      <w:jc w:val="center"/>
    </w:pPr>
    <w:rPr>
      <w:sz w:val="21"/>
    </w:rPr>
  </w:style>
  <w:style w:type="paragraph" w:customStyle="1" w:styleId="161">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6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3">
    <w:name w:val="附录1"/>
    <w:basedOn w:val="1"/>
    <w:qFormat/>
    <w:uiPriority w:val="0"/>
    <w:pPr>
      <w:tabs>
        <w:tab w:val="left" w:pos="1304"/>
      </w:tabs>
      <w:ind w:left="425" w:hanging="425"/>
      <w:outlineLvl w:val="0"/>
    </w:pPr>
    <w:rPr>
      <w:rFonts w:ascii="黑体" w:hAnsi="黑体" w:eastAsia="黑体"/>
      <w:b/>
      <w:sz w:val="44"/>
    </w:rPr>
  </w:style>
  <w:style w:type="paragraph" w:customStyle="1" w:styleId="16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5">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66">
    <w:name w:val="关键词"/>
    <w:basedOn w:val="1"/>
    <w:qFormat/>
    <w:uiPriority w:val="0"/>
    <w:pPr>
      <w:spacing w:line="360" w:lineRule="auto"/>
    </w:pPr>
    <w:rPr>
      <w:rFonts w:eastAsia="黑体"/>
      <w:sz w:val="20"/>
    </w:rPr>
  </w:style>
  <w:style w:type="paragraph" w:customStyle="1" w:styleId="167">
    <w:name w:val="Title - Date"/>
    <w:basedOn w:val="53"/>
    <w:qFormat/>
    <w:uiPriority w:val="0"/>
    <w:pPr>
      <w:spacing w:before="240" w:after="720"/>
    </w:pPr>
    <w:rPr>
      <w:sz w:val="28"/>
    </w:rPr>
  </w:style>
  <w:style w:type="paragraph" w:customStyle="1" w:styleId="16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9">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70">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171">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3">
    <w:name w:val="Style Heading 3h3Heading 3 - oldLevel 3 HeadH3level_3PIM 3se..."/>
    <w:basedOn w:val="4"/>
    <w:qFormat/>
    <w:uiPriority w:val="0"/>
    <w:pPr>
      <w:numPr>
        <w:ilvl w:val="2"/>
        <w:numId w:val="9"/>
      </w:numPr>
      <w:tabs>
        <w:tab w:val="left" w:pos="709"/>
        <w:tab w:val="left" w:pos="1620"/>
      </w:tabs>
    </w:pPr>
  </w:style>
  <w:style w:type="paragraph" w:customStyle="1" w:styleId="174">
    <w:name w:val="样式4"/>
    <w:basedOn w:val="5"/>
    <w:qFormat/>
    <w:uiPriority w:val="0"/>
    <w:pPr>
      <w:adjustRightInd w:val="0"/>
      <w:snapToGrid w:val="0"/>
    </w:pPr>
  </w:style>
  <w:style w:type="paragraph" w:customStyle="1" w:styleId="175">
    <w:name w:val="摘要"/>
    <w:basedOn w:val="1"/>
    <w:qFormat/>
    <w:uiPriority w:val="0"/>
    <w:pPr>
      <w:spacing w:line="360" w:lineRule="auto"/>
    </w:pPr>
    <w:rPr>
      <w:rFonts w:eastAsia="黑体"/>
      <w:sz w:val="20"/>
    </w:rPr>
  </w:style>
  <w:style w:type="paragraph" w:customStyle="1" w:styleId="176">
    <w:name w:val="Char Char 字元 字元 字元 Char Char Char Char"/>
    <w:basedOn w:val="1"/>
    <w:qFormat/>
    <w:uiPriority w:val="0"/>
    <w:pPr>
      <w:adjustRightInd w:val="0"/>
      <w:spacing w:line="360" w:lineRule="auto"/>
    </w:pPr>
    <w:rPr>
      <w:kern w:val="0"/>
      <w:sz w:val="24"/>
    </w:rPr>
  </w:style>
  <w:style w:type="paragraph" w:customStyle="1" w:styleId="177">
    <w:name w:val="可研正文"/>
    <w:basedOn w:val="22"/>
    <w:qFormat/>
    <w:uiPriority w:val="0"/>
    <w:pPr>
      <w:adjustRightInd w:val="0"/>
      <w:snapToGrid w:val="0"/>
      <w:spacing w:line="440" w:lineRule="exact"/>
      <w:ind w:firstLine="567"/>
    </w:pPr>
    <w:rPr>
      <w:sz w:val="28"/>
    </w:rPr>
  </w:style>
  <w:style w:type="paragraph" w:customStyle="1" w:styleId="178">
    <w:name w:val="没有缩进（为图形使用）"/>
    <w:basedOn w:val="1"/>
    <w:qFormat/>
    <w:uiPriority w:val="0"/>
    <w:pPr>
      <w:spacing w:before="120" w:after="120" w:line="360" w:lineRule="auto"/>
    </w:pPr>
    <w:rPr>
      <w:sz w:val="24"/>
    </w:rPr>
  </w:style>
  <w:style w:type="paragraph" w:customStyle="1" w:styleId="179">
    <w:name w:val="样式 样式 正文首行缩进 2 + 左  0 字符 + 首行缩进:  2.57 字符"/>
    <w:basedOn w:val="1"/>
    <w:qFormat/>
    <w:uiPriority w:val="0"/>
    <w:pPr>
      <w:adjustRightInd w:val="0"/>
      <w:snapToGrid w:val="0"/>
      <w:spacing w:after="120"/>
      <w:ind w:firstLine="540" w:firstLineChars="257"/>
    </w:pPr>
    <w:rPr>
      <w:sz w:val="21"/>
    </w:rPr>
  </w:style>
  <w:style w:type="paragraph" w:customStyle="1" w:styleId="18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1">
    <w:name w:val="标书正文:  0.74 厘米"/>
    <w:basedOn w:val="1"/>
    <w:qFormat/>
    <w:uiPriority w:val="0"/>
    <w:pPr>
      <w:snapToGrid w:val="0"/>
      <w:spacing w:line="360" w:lineRule="auto"/>
      <w:ind w:firstLine="420"/>
    </w:pPr>
    <w:rPr>
      <w:sz w:val="24"/>
    </w:rPr>
  </w:style>
  <w:style w:type="paragraph" w:customStyle="1" w:styleId="182">
    <w:name w:val="样式 正文缩进正文（首行缩进两字）表正文正文非缩进特点标题4段1 + 首行缩进:  2 字符"/>
    <w:basedOn w:val="15"/>
    <w:qFormat/>
    <w:uiPriority w:val="0"/>
    <w:pPr>
      <w:ind w:firstLine="480" w:firstLineChars="200"/>
    </w:pPr>
  </w:style>
  <w:style w:type="paragraph" w:customStyle="1" w:styleId="18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4">
    <w:name w:val="Char1 Char Char Char"/>
    <w:basedOn w:val="1"/>
    <w:qFormat/>
    <w:uiPriority w:val="0"/>
    <w:rPr>
      <w:rFonts w:ascii="Tahoma" w:hAnsi="Tahoma"/>
      <w:sz w:val="24"/>
    </w:rPr>
  </w:style>
  <w:style w:type="paragraph" w:customStyle="1" w:styleId="185">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186">
    <w:name w:val="文章正文"/>
    <w:basedOn w:val="1"/>
    <w:qFormat/>
    <w:uiPriority w:val="0"/>
    <w:pPr>
      <w:ind w:firstLine="560" w:firstLineChars="200"/>
    </w:pPr>
    <w:rPr>
      <w:rFonts w:ascii="仿宋_GB2312" w:hAnsi="宋体" w:eastAsia="仿宋_GB2312"/>
      <w:color w:val="000000"/>
    </w:rPr>
  </w:style>
  <w:style w:type="paragraph" w:customStyle="1" w:styleId="187">
    <w:name w:val="样式 宋体 五号 两端对齐 行距: 单倍行距"/>
    <w:basedOn w:val="1"/>
    <w:qFormat/>
    <w:uiPriority w:val="0"/>
    <w:pPr>
      <w:adjustRightInd w:val="0"/>
    </w:pPr>
    <w:rPr>
      <w:rFonts w:ascii="宋体" w:hAnsi="宋体"/>
      <w:kern w:val="0"/>
      <w:sz w:val="21"/>
    </w:rPr>
  </w:style>
  <w:style w:type="paragraph" w:customStyle="1" w:styleId="188">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89">
    <w:name w:val="Char Char1 Char"/>
    <w:basedOn w:val="1"/>
    <w:qFormat/>
    <w:uiPriority w:val="0"/>
    <w:rPr>
      <w:rFonts w:ascii="Tahoma" w:hAnsi="Tahoma"/>
      <w:sz w:val="24"/>
      <w:szCs w:val="24"/>
    </w:rPr>
  </w:style>
  <w:style w:type="paragraph" w:customStyle="1" w:styleId="19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1">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2">
    <w:name w:val="Char"/>
    <w:basedOn w:val="1"/>
    <w:qFormat/>
    <w:uiPriority w:val="0"/>
    <w:pPr>
      <w:spacing w:line="240" w:lineRule="atLeast"/>
      <w:ind w:left="420" w:firstLine="420"/>
    </w:pPr>
    <w:rPr>
      <w:kern w:val="0"/>
      <w:sz w:val="21"/>
    </w:rPr>
  </w:style>
  <w:style w:type="paragraph" w:customStyle="1" w:styleId="193">
    <w:name w:val="_"/>
    <w:basedOn w:val="1"/>
    <w:qFormat/>
    <w:uiPriority w:val="0"/>
    <w:pPr>
      <w:adjustRightInd w:val="0"/>
      <w:spacing w:line="360" w:lineRule="auto"/>
      <w:ind w:left="480" w:firstLine="200" w:firstLineChars="200"/>
    </w:pPr>
    <w:rPr>
      <w:kern w:val="0"/>
      <w:sz w:val="24"/>
    </w:rPr>
  </w:style>
  <w:style w:type="paragraph" w:customStyle="1" w:styleId="194">
    <w:name w:val="Char1 Char Char Char1"/>
    <w:basedOn w:val="1"/>
    <w:qFormat/>
    <w:uiPriority w:val="0"/>
    <w:rPr>
      <w:rFonts w:ascii="Tahoma" w:hAnsi="Tahoma"/>
      <w:sz w:val="30"/>
    </w:rPr>
  </w:style>
  <w:style w:type="paragraph" w:customStyle="1" w:styleId="195">
    <w:name w:val="表头文本"/>
    <w:qFormat/>
    <w:uiPriority w:val="0"/>
    <w:pPr>
      <w:jc w:val="center"/>
    </w:pPr>
    <w:rPr>
      <w:rFonts w:ascii="Arial" w:hAnsi="Arial" w:eastAsia="宋体" w:cs="Times New Roman"/>
      <w:b/>
      <w:sz w:val="21"/>
      <w:lang w:val="en-US" w:eastAsia="zh-CN" w:bidi="ar-SA"/>
    </w:rPr>
  </w:style>
  <w:style w:type="paragraph" w:customStyle="1" w:styleId="196">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7">
    <w:name w:val="Char Char Char"/>
    <w:basedOn w:val="1"/>
    <w:qFormat/>
    <w:uiPriority w:val="0"/>
    <w:rPr>
      <w:rFonts w:ascii="Tahoma" w:hAnsi="Tahoma"/>
      <w:sz w:val="24"/>
    </w:rPr>
  </w:style>
  <w:style w:type="paragraph" w:customStyle="1" w:styleId="19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9">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0">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01">
    <w:name w:val="默认段落字体 Para Char Char Char Char Char Char Char"/>
    <w:basedOn w:val="1"/>
    <w:qFormat/>
    <w:uiPriority w:val="0"/>
    <w:rPr>
      <w:rFonts w:ascii="Tahoma" w:hAnsi="Tahoma"/>
      <w:sz w:val="24"/>
    </w:rPr>
  </w:style>
  <w:style w:type="paragraph" w:customStyle="1" w:styleId="202">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4">
    <w:name w:val="首行缩进"/>
    <w:basedOn w:val="1"/>
    <w:qFormat/>
    <w:uiPriority w:val="0"/>
    <w:pPr>
      <w:numPr>
        <w:ilvl w:val="0"/>
        <w:numId w:val="11"/>
      </w:numPr>
      <w:spacing w:line="360" w:lineRule="auto"/>
    </w:pPr>
    <w:rPr>
      <w:rFonts w:eastAsia="仿宋_GB2312"/>
    </w:rPr>
  </w:style>
  <w:style w:type="paragraph" w:customStyle="1" w:styleId="205">
    <w:name w:val="正文字缩2字"/>
    <w:basedOn w:val="1"/>
    <w:qFormat/>
    <w:uiPriority w:val="0"/>
    <w:pPr>
      <w:spacing w:before="60" w:after="60" w:line="360" w:lineRule="auto"/>
      <w:ind w:left="200" w:leftChars="200" w:firstLine="200" w:firstLineChars="200"/>
    </w:pPr>
    <w:rPr>
      <w:sz w:val="24"/>
    </w:rPr>
  </w:style>
  <w:style w:type="paragraph" w:customStyle="1" w:styleId="206">
    <w:name w:val="正文表格"/>
    <w:basedOn w:val="1"/>
    <w:qFormat/>
    <w:uiPriority w:val="0"/>
    <w:pPr>
      <w:adjustRightInd w:val="0"/>
      <w:spacing w:before="40" w:after="40"/>
    </w:pPr>
    <w:rPr>
      <w:sz w:val="24"/>
    </w:rPr>
  </w:style>
  <w:style w:type="paragraph" w:customStyle="1" w:styleId="207">
    <w:name w:val="表文字"/>
    <w:qFormat/>
    <w:uiPriority w:val="0"/>
    <w:rPr>
      <w:rFonts w:ascii="宋体" w:hAnsi="Times New Roman" w:eastAsia="宋体" w:cs="Times New Roman"/>
      <w:kern w:val="2"/>
      <w:lang w:val="en-US" w:eastAsia="zh-CN" w:bidi="ar-SA"/>
    </w:rPr>
  </w:style>
  <w:style w:type="paragraph" w:customStyle="1" w:styleId="208">
    <w:name w:val="表格内文字"/>
    <w:basedOn w:val="30"/>
    <w:qFormat/>
    <w:uiPriority w:val="0"/>
    <w:pPr>
      <w:adjustRightInd w:val="0"/>
    </w:pPr>
    <w:rPr>
      <w:color w:val="000000"/>
      <w:lang w:val="en-GB"/>
    </w:rPr>
  </w:style>
  <w:style w:type="paragraph" w:customStyle="1" w:styleId="209">
    <w:name w:val="正文文本缩进 21"/>
    <w:basedOn w:val="1"/>
    <w:qFormat/>
    <w:uiPriority w:val="0"/>
    <w:pPr>
      <w:adjustRightInd w:val="0"/>
      <w:spacing w:before="120"/>
      <w:ind w:firstLine="420"/>
    </w:pPr>
    <w:rPr>
      <w:sz w:val="24"/>
    </w:rPr>
  </w:style>
  <w:style w:type="paragraph" w:customStyle="1" w:styleId="210">
    <w:name w:val="标题无"/>
    <w:basedOn w:val="1"/>
    <w:qFormat/>
    <w:uiPriority w:val="0"/>
    <w:pPr>
      <w:spacing w:line="360" w:lineRule="auto"/>
    </w:pPr>
    <w:rPr>
      <w:sz w:val="24"/>
    </w:rPr>
  </w:style>
  <w:style w:type="paragraph" w:customStyle="1" w:styleId="211">
    <w:name w:val="af"/>
    <w:basedOn w:val="1"/>
    <w:qFormat/>
    <w:uiPriority w:val="0"/>
    <w:pPr>
      <w:widowControl/>
      <w:spacing w:line="300" w:lineRule="atLeast"/>
      <w:jc w:val="left"/>
    </w:pPr>
    <w:rPr>
      <w:rFonts w:ascii="宋体" w:hAnsi="宋体"/>
      <w:kern w:val="0"/>
      <w:sz w:val="18"/>
    </w:rPr>
  </w:style>
  <w:style w:type="paragraph" w:customStyle="1" w:styleId="212">
    <w:name w:val="简单回函地址"/>
    <w:basedOn w:val="1"/>
    <w:qFormat/>
    <w:uiPriority w:val="0"/>
    <w:pPr>
      <w:adjustRightInd w:val="0"/>
      <w:snapToGrid w:val="0"/>
      <w:spacing w:line="360" w:lineRule="auto"/>
    </w:pPr>
    <w:rPr>
      <w:sz w:val="24"/>
    </w:rPr>
  </w:style>
  <w:style w:type="paragraph" w:customStyle="1" w:styleId="213">
    <w:name w:val="文档正文 Char Char Char Char Char"/>
    <w:basedOn w:val="1"/>
    <w:qFormat/>
    <w:uiPriority w:val="0"/>
    <w:pPr>
      <w:adjustRightInd w:val="0"/>
      <w:spacing w:line="440" w:lineRule="exact"/>
      <w:ind w:firstLine="420"/>
    </w:pPr>
    <w:rPr>
      <w:rFonts w:ascii="Arial Narrow" w:hAnsi="Arial Narrow"/>
      <w:kern w:val="0"/>
      <w:sz w:val="24"/>
    </w:rPr>
  </w:style>
  <w:style w:type="paragraph" w:customStyle="1" w:styleId="214">
    <w:name w:val="正文（首行不缩进）"/>
    <w:basedOn w:val="1"/>
    <w:qFormat/>
    <w:uiPriority w:val="0"/>
    <w:pPr>
      <w:autoSpaceDE w:val="0"/>
      <w:autoSpaceDN w:val="0"/>
      <w:adjustRightInd w:val="0"/>
      <w:spacing w:line="360" w:lineRule="auto"/>
      <w:jc w:val="left"/>
    </w:pPr>
    <w:rPr>
      <w:kern w:val="0"/>
      <w:sz w:val="21"/>
    </w:rPr>
  </w:style>
  <w:style w:type="paragraph" w:customStyle="1" w:styleId="215">
    <w:name w:val="正文1"/>
    <w:basedOn w:val="1"/>
    <w:qFormat/>
    <w:uiPriority w:val="0"/>
    <w:pPr>
      <w:spacing w:line="300" w:lineRule="auto"/>
      <w:ind w:firstLine="200" w:firstLineChars="200"/>
    </w:pPr>
    <w:rPr>
      <w:sz w:val="24"/>
    </w:rPr>
  </w:style>
  <w:style w:type="paragraph" w:customStyle="1" w:styleId="216">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218">
    <w:name w:val="表头样式"/>
    <w:basedOn w:val="1"/>
    <w:qFormat/>
    <w:uiPriority w:val="0"/>
    <w:pPr>
      <w:autoSpaceDE w:val="0"/>
      <w:autoSpaceDN w:val="0"/>
      <w:adjustRightInd w:val="0"/>
      <w:spacing w:line="360" w:lineRule="auto"/>
      <w:jc w:val="left"/>
    </w:pPr>
    <w:rPr>
      <w:b/>
      <w:kern w:val="0"/>
      <w:sz w:val="21"/>
    </w:rPr>
  </w:style>
  <w:style w:type="paragraph" w:customStyle="1" w:styleId="219">
    <w:name w:val="图片文字"/>
    <w:basedOn w:val="1"/>
    <w:qFormat/>
    <w:uiPriority w:val="0"/>
    <w:pPr>
      <w:spacing w:line="240" w:lineRule="atLeast"/>
      <w:jc w:val="center"/>
    </w:pPr>
    <w:rPr>
      <w:sz w:val="21"/>
    </w:rPr>
  </w:style>
  <w:style w:type="paragraph" w:customStyle="1" w:styleId="220">
    <w:name w:val="xl23"/>
    <w:basedOn w:val="1"/>
    <w:qFormat/>
    <w:uiPriority w:val="0"/>
    <w:pPr>
      <w:widowControl/>
      <w:spacing w:before="100" w:beforeAutospacing="1" w:after="100" w:afterAutospacing="1" w:line="360" w:lineRule="auto"/>
    </w:pPr>
    <w:rPr>
      <w:kern w:val="0"/>
      <w:sz w:val="24"/>
    </w:rPr>
  </w:style>
  <w:style w:type="paragraph" w:customStyle="1" w:styleId="221">
    <w:name w:val="附录3"/>
    <w:basedOn w:val="1"/>
    <w:qFormat/>
    <w:uiPriority w:val="0"/>
    <w:pPr>
      <w:tabs>
        <w:tab w:val="left" w:pos="851"/>
      </w:tabs>
      <w:ind w:left="425" w:hanging="425"/>
      <w:outlineLvl w:val="2"/>
    </w:pPr>
    <w:rPr>
      <w:rFonts w:eastAsia="黑体"/>
      <w:b/>
      <w:sz w:val="32"/>
    </w:rPr>
  </w:style>
  <w:style w:type="paragraph" w:customStyle="1" w:styleId="222">
    <w:name w:val="È±Ê¡ÎÄ±¾"/>
    <w:basedOn w:val="1"/>
    <w:qFormat/>
    <w:uiPriority w:val="0"/>
    <w:pPr>
      <w:widowControl/>
      <w:overflowPunct w:val="0"/>
      <w:autoSpaceDE w:val="0"/>
      <w:autoSpaceDN w:val="0"/>
      <w:adjustRightInd w:val="0"/>
      <w:jc w:val="left"/>
    </w:pPr>
    <w:rPr>
      <w:kern w:val="0"/>
      <w:sz w:val="24"/>
    </w:rPr>
  </w:style>
  <w:style w:type="paragraph" w:customStyle="1" w:styleId="223">
    <w:name w:val="首行缩进 1"/>
    <w:basedOn w:val="1"/>
    <w:qFormat/>
    <w:uiPriority w:val="0"/>
    <w:pPr>
      <w:spacing w:after="120" w:line="360" w:lineRule="auto"/>
      <w:ind w:firstLine="200" w:firstLineChars="200"/>
    </w:pPr>
    <w:rPr>
      <w:sz w:val="24"/>
    </w:rPr>
  </w:style>
  <w:style w:type="paragraph" w:customStyle="1" w:styleId="224">
    <w:name w:val="Char11"/>
    <w:basedOn w:val="1"/>
    <w:qFormat/>
    <w:uiPriority w:val="0"/>
    <w:pPr>
      <w:spacing w:line="240" w:lineRule="atLeast"/>
      <w:ind w:left="420" w:firstLine="420"/>
    </w:pPr>
    <w:rPr>
      <w:kern w:val="0"/>
      <w:sz w:val="21"/>
    </w:rPr>
  </w:style>
  <w:style w:type="paragraph" w:customStyle="1" w:styleId="22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9">
    <w:name w:val="Char1"/>
    <w:basedOn w:val="1"/>
    <w:qFormat/>
    <w:uiPriority w:val="0"/>
    <w:rPr>
      <w:sz w:val="21"/>
    </w:rPr>
  </w:style>
  <w:style w:type="paragraph" w:customStyle="1" w:styleId="230">
    <w:name w:val="Note"/>
    <w:basedOn w:val="1"/>
    <w:qFormat/>
    <w:uiPriority w:val="0"/>
    <w:pPr>
      <w:pBdr>
        <w:top w:val="single" w:color="auto" w:sz="12" w:space="3"/>
        <w:bottom w:val="single" w:color="auto" w:sz="12" w:space="3"/>
      </w:pBdr>
      <w:spacing w:line="360" w:lineRule="auto"/>
    </w:pPr>
    <w:rPr>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样式 宋体 五号 行距: 单倍行距"/>
    <w:basedOn w:val="1"/>
    <w:qFormat/>
    <w:uiPriority w:val="0"/>
    <w:pPr>
      <w:adjustRightInd w:val="0"/>
      <w:jc w:val="left"/>
    </w:pPr>
    <w:rPr>
      <w:rFonts w:ascii="宋体" w:hAnsi="宋体"/>
      <w:kern w:val="0"/>
      <w:sz w:val="21"/>
    </w:rPr>
  </w:style>
  <w:style w:type="paragraph" w:customStyle="1" w:styleId="233">
    <w:name w:val="操作步骤"/>
    <w:basedOn w:val="1"/>
    <w:qFormat/>
    <w:uiPriority w:val="0"/>
    <w:pPr>
      <w:numPr>
        <w:ilvl w:val="0"/>
        <w:numId w:val="12"/>
      </w:numPr>
      <w:autoSpaceDE w:val="0"/>
      <w:autoSpaceDN w:val="0"/>
      <w:adjustRightInd w:val="0"/>
      <w:snapToGrid w:val="0"/>
      <w:spacing w:line="40" w:lineRule="atLeast"/>
    </w:pPr>
    <w:rPr>
      <w:rFonts w:ascii="昆仑楷体" w:eastAsia="楷体_GB2312"/>
      <w:kern w:val="0"/>
      <w:sz w:val="21"/>
    </w:rPr>
  </w:style>
  <w:style w:type="paragraph" w:customStyle="1" w:styleId="23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5">
    <w:name w:val="bt"/>
    <w:basedOn w:val="1"/>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36">
    <w:name w:val="图例"/>
    <w:basedOn w:val="1"/>
    <w:qFormat/>
    <w:uiPriority w:val="0"/>
    <w:pPr>
      <w:spacing w:before="120" w:after="120" w:line="360" w:lineRule="auto"/>
      <w:jc w:val="center"/>
    </w:pPr>
    <w:rPr>
      <w:rFonts w:eastAsia="仿宋_GB2312"/>
      <w:b/>
      <w:sz w:val="24"/>
    </w:rPr>
  </w:style>
  <w:style w:type="table" w:customStyle="1" w:styleId="237">
    <w:name w:val="Table Normal"/>
    <w:unhideWhenUsed/>
    <w:qFormat/>
    <w:uiPriority w:val="0"/>
    <w:tblPr>
      <w:tblCellMar>
        <w:top w:w="0" w:type="dxa"/>
        <w:left w:w="0" w:type="dxa"/>
        <w:bottom w:w="0" w:type="dxa"/>
        <w:right w:w="0" w:type="dxa"/>
      </w:tblCellMar>
    </w:tblPr>
  </w:style>
  <w:style w:type="character" w:customStyle="1" w:styleId="238">
    <w:name w:val="正文文本 Char"/>
    <w:basedOn w:val="59"/>
    <w:link w:val="22"/>
    <w:qFormat/>
    <w:uiPriority w:val="0"/>
    <w:rPr>
      <w:rFonts w:ascii="仿宋_GB2312" w:eastAsia="仿宋_GB2312"/>
      <w:kern w:val="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satMod val="300000"/>
                <a:tint val="50000"/>
              </a:schemeClr>
            </a:gs>
            <a:gs pos="35000">
              <a:schemeClr val="phClr">
                <a:satMod val="300000"/>
                <a:tint val="37000"/>
              </a:schemeClr>
            </a:gs>
            <a:gs pos="100000">
              <a:schemeClr val="phClr">
                <a:satMod val="350000"/>
                <a:tint val="15000"/>
              </a:schemeClr>
            </a:gs>
          </a:gsLst>
          <a:lin ang="16200000" scaled="true"/>
        </a:gradFill>
        <a:gradFill rotWithShape="true">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false"/>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true">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2579</Words>
  <Characters>2852</Characters>
  <Lines>188</Lines>
  <Paragraphs>53</Paragraphs>
  <TotalTime>1</TotalTime>
  <ScaleCrop>false</ScaleCrop>
  <LinksUpToDate>false</LinksUpToDate>
  <CharactersWithSpaces>3019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2024-01-16T14:36:00Z</dcterms:created>
  <cp:lastPrinted>2025-11-06T18:35:00Z</cp:lastPrinted>
  <dcterms:modified xsi:type="dcterms:W3CDTF">2025-11-11T15:22:09Z</dcterms:modified>
  <dc:title>竞争性谈判文件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F8E70C25F7AE4E85B1F491F4EC814C22_13</vt:lpwstr>
  </property>
  <property fmtid="{D5CDD505-2E9C-101B-9397-08002B2CF9AE}" pid="4" name="KSOSaveFontToCloudKey">
    <vt:lpwstr>518781431_cloud</vt:lpwstr>
  </property>
  <property fmtid="{D5CDD505-2E9C-101B-9397-08002B2CF9AE}" pid="5" name="KSOTemplateDocerSaveRecord">
    <vt:lpwstr>eyJoZGlkIjoiYmQ0YzUyOTE2ODYxM2UyNmIzMjNjM2U3MWEyY2M4ODEiLCJ1c2VySWQiOiI2MTYzNzM0MjIifQ==</vt:lpwstr>
  </property>
</Properties>
</file>